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16" w:rsidRDefault="00264716" w:rsidP="00200789">
      <w:pPr>
        <w:tabs>
          <w:tab w:val="left" w:pos="900"/>
          <w:tab w:val="left" w:pos="2160"/>
        </w:tabs>
        <w:rPr>
          <w:rFonts w:ascii="Tahoma" w:hAnsi="Tahoma" w:cs="Tahoma"/>
          <w:b/>
          <w:bCs/>
        </w:rPr>
      </w:pPr>
    </w:p>
    <w:p w:rsidR="00264716" w:rsidRDefault="00264716" w:rsidP="008B7BA6">
      <w:pPr>
        <w:tabs>
          <w:tab w:val="left" w:pos="900"/>
          <w:tab w:val="left" w:pos="5040"/>
        </w:tabs>
        <w:jc w:val="center"/>
        <w:rPr>
          <w:rFonts w:ascii="Tahoma" w:hAnsi="Tahoma" w:cs="Tahoma"/>
          <w:b/>
          <w:bCs/>
        </w:rPr>
      </w:pPr>
    </w:p>
    <w:p w:rsidR="00264716" w:rsidRDefault="00264716" w:rsidP="008B7BA6">
      <w:pPr>
        <w:tabs>
          <w:tab w:val="left" w:pos="900"/>
          <w:tab w:val="left" w:pos="5040"/>
        </w:tabs>
        <w:jc w:val="center"/>
        <w:rPr>
          <w:rFonts w:ascii="Tahoma" w:hAnsi="Tahoma" w:cs="Tahoma"/>
          <w:b/>
          <w:bCs/>
        </w:rPr>
      </w:pPr>
    </w:p>
    <w:p w:rsidR="00264716" w:rsidRDefault="00264716" w:rsidP="008B7BA6">
      <w:pPr>
        <w:tabs>
          <w:tab w:val="left" w:pos="900"/>
          <w:tab w:val="left" w:pos="5040"/>
        </w:tabs>
        <w:jc w:val="center"/>
        <w:rPr>
          <w:rFonts w:ascii="Tahoma" w:hAnsi="Tahoma" w:cs="Tahoma"/>
          <w:b/>
          <w:bCs/>
        </w:rPr>
      </w:pPr>
    </w:p>
    <w:p w:rsidR="00264716" w:rsidRDefault="00264716" w:rsidP="008B7BA6">
      <w:pPr>
        <w:tabs>
          <w:tab w:val="left" w:pos="900"/>
          <w:tab w:val="left" w:pos="5040"/>
        </w:tabs>
        <w:jc w:val="center"/>
        <w:rPr>
          <w:rFonts w:ascii="Tahoma" w:hAnsi="Tahoma" w:cs="Tahoma"/>
          <w:b/>
          <w:bCs/>
        </w:rPr>
      </w:pPr>
    </w:p>
    <w:p w:rsidR="00264716" w:rsidRDefault="00264716" w:rsidP="008B7BA6">
      <w:pPr>
        <w:tabs>
          <w:tab w:val="left" w:pos="900"/>
          <w:tab w:val="left" w:pos="5040"/>
        </w:tabs>
        <w:jc w:val="center"/>
        <w:rPr>
          <w:rFonts w:ascii="Tahoma" w:hAnsi="Tahoma" w:cs="Tahoma"/>
          <w:b/>
          <w:bCs/>
        </w:rPr>
      </w:pPr>
    </w:p>
    <w:p w:rsidR="00264716" w:rsidRPr="007803BC" w:rsidRDefault="00264716" w:rsidP="008B7BA6">
      <w:pPr>
        <w:tabs>
          <w:tab w:val="left" w:pos="900"/>
          <w:tab w:val="left" w:pos="5040"/>
        </w:tabs>
        <w:jc w:val="center"/>
        <w:rPr>
          <w:rFonts w:ascii="Tahoma" w:hAnsi="Tahoma" w:cs="Tahoma"/>
          <w:b/>
          <w:bCs/>
        </w:rPr>
      </w:pPr>
      <w:r w:rsidRPr="007803BC">
        <w:rPr>
          <w:rFonts w:ascii="Tahoma" w:hAnsi="Tahoma" w:cs="Tahoma"/>
          <w:b/>
          <w:bCs/>
        </w:rPr>
        <w:t xml:space="preserve">BEFORE THE </w:t>
      </w:r>
      <w:r>
        <w:rPr>
          <w:rFonts w:ascii="Tahoma" w:hAnsi="Tahoma" w:cs="Tahoma"/>
          <w:b/>
          <w:bCs/>
        </w:rPr>
        <w:t>ODISHA</w:t>
      </w:r>
      <w:r w:rsidRPr="007803BC">
        <w:rPr>
          <w:rFonts w:ascii="Tahoma" w:hAnsi="Tahoma" w:cs="Tahoma"/>
          <w:b/>
          <w:bCs/>
        </w:rPr>
        <w:t xml:space="preserve"> ELECTRICITY REGULATORY COMMISSION</w:t>
      </w:r>
    </w:p>
    <w:p w:rsidR="00264716" w:rsidRPr="007803BC" w:rsidRDefault="00264716" w:rsidP="008B7BA6">
      <w:pPr>
        <w:pStyle w:val="Heading4"/>
        <w:spacing w:before="0" w:after="0"/>
        <w:jc w:val="center"/>
        <w:rPr>
          <w:rFonts w:ascii="Tahoma" w:hAnsi="Tahoma" w:cs="Tahoma"/>
          <w:b w:val="0"/>
          <w:bCs w:val="0"/>
          <w:sz w:val="24"/>
          <w:szCs w:val="24"/>
        </w:rPr>
      </w:pPr>
      <w:r w:rsidRPr="007803BC">
        <w:rPr>
          <w:rFonts w:ascii="Tahoma" w:hAnsi="Tahoma" w:cs="Tahoma"/>
          <w:sz w:val="24"/>
          <w:szCs w:val="24"/>
        </w:rPr>
        <w:t>B H U B A N E S W A R</w:t>
      </w:r>
    </w:p>
    <w:p w:rsidR="00264716" w:rsidRPr="007803BC" w:rsidRDefault="00264716" w:rsidP="008B7BA6">
      <w:pPr>
        <w:jc w:val="center"/>
        <w:rPr>
          <w:rFonts w:ascii="Tahoma" w:hAnsi="Tahoma" w:cs="Tahoma"/>
          <w:b/>
          <w:bCs/>
          <w:sz w:val="22"/>
        </w:rPr>
      </w:pPr>
    </w:p>
    <w:p w:rsidR="00264716" w:rsidRPr="007803BC" w:rsidRDefault="00264716" w:rsidP="008B7BA6">
      <w:pPr>
        <w:rPr>
          <w:rFonts w:ascii="Tahoma" w:hAnsi="Tahoma" w:cs="Tahoma"/>
          <w:b/>
          <w:bCs/>
        </w:rPr>
      </w:pP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t>Filing No.</w:t>
      </w:r>
    </w:p>
    <w:p w:rsidR="00264716" w:rsidRPr="007803BC" w:rsidRDefault="00264716" w:rsidP="008B7BA6">
      <w:pPr>
        <w:ind w:left="5760" w:firstLine="720"/>
        <w:rPr>
          <w:rFonts w:ascii="Tahoma" w:hAnsi="Tahoma" w:cs="Tahoma"/>
          <w:b/>
          <w:bCs/>
        </w:rPr>
      </w:pPr>
      <w:r w:rsidRPr="007803BC">
        <w:rPr>
          <w:rFonts w:ascii="Tahoma" w:hAnsi="Tahoma" w:cs="Tahoma"/>
          <w:b/>
          <w:bCs/>
        </w:rPr>
        <w:t xml:space="preserve">Case No.   </w:t>
      </w:r>
    </w:p>
    <w:p w:rsidR="00264716" w:rsidRPr="007803BC" w:rsidRDefault="00264716" w:rsidP="008B7BA6">
      <w:pPr>
        <w:ind w:left="5760" w:firstLine="720"/>
        <w:rPr>
          <w:rFonts w:ascii="Tahoma" w:hAnsi="Tahoma" w:cs="Tahoma"/>
          <w:b/>
          <w:bCs/>
        </w:rPr>
      </w:pPr>
      <w:r w:rsidRPr="007803BC">
        <w:rPr>
          <w:rFonts w:ascii="Tahoma" w:hAnsi="Tahoma" w:cs="Tahoma"/>
          <w:b/>
          <w:bCs/>
        </w:rPr>
        <w:t xml:space="preserve">                                                                                                                                                                                          </w:t>
      </w:r>
    </w:p>
    <w:p w:rsidR="00264716" w:rsidRPr="007803BC" w:rsidRDefault="00264716" w:rsidP="008B7BA6">
      <w:pPr>
        <w:rPr>
          <w:rFonts w:ascii="Tahoma" w:hAnsi="Tahoma" w:cs="Tahoma"/>
        </w:rPr>
      </w:pPr>
    </w:p>
    <w:p w:rsidR="00264716" w:rsidRPr="007803BC" w:rsidRDefault="00264716" w:rsidP="008B7BA6">
      <w:pPr>
        <w:tabs>
          <w:tab w:val="left" w:pos="2880"/>
        </w:tabs>
        <w:ind w:left="2880" w:hanging="2880"/>
        <w:jc w:val="both"/>
        <w:rPr>
          <w:rFonts w:ascii="Tahoma" w:hAnsi="Tahoma" w:cs="Tahoma"/>
        </w:rPr>
      </w:pPr>
      <w:r w:rsidRPr="007803BC">
        <w:rPr>
          <w:rFonts w:ascii="Tahoma" w:hAnsi="Tahoma" w:cs="Tahoma"/>
        </w:rPr>
        <w:t>IN THE MATTER OF:</w:t>
      </w:r>
      <w:r w:rsidRPr="007803BC">
        <w:rPr>
          <w:rFonts w:ascii="Tahoma" w:hAnsi="Tahoma" w:cs="Tahoma"/>
        </w:rPr>
        <w:tab/>
        <w:t>An application for wheeling charges, surcharges and additional surcharges for the Financial Year 2015-16 under the Electricity Act – 2003 and in conformity with Section 4-(1)(XIV), (2)(VII) &amp; (3)(VI) of OERC (Determination of Open Access charges) Regulations – 2006 &amp; OERC (Terms and conditions of Open Access) Regulations - 2005.</w:t>
      </w:r>
      <w:r w:rsidRPr="007803BC">
        <w:rPr>
          <w:rFonts w:ascii="Tahoma" w:hAnsi="Tahoma" w:cs="Tahoma"/>
        </w:rPr>
        <w:tab/>
      </w:r>
    </w:p>
    <w:p w:rsidR="00264716" w:rsidRPr="007803BC" w:rsidRDefault="00264716" w:rsidP="008B7BA6">
      <w:pPr>
        <w:pStyle w:val="Heading5"/>
        <w:jc w:val="center"/>
        <w:rPr>
          <w:rFonts w:ascii="Tahoma" w:hAnsi="Tahoma" w:cs="Tahoma"/>
          <w:i w:val="0"/>
          <w:sz w:val="24"/>
          <w:szCs w:val="24"/>
        </w:rPr>
      </w:pPr>
      <w:r w:rsidRPr="007803BC">
        <w:rPr>
          <w:rFonts w:ascii="Tahoma" w:hAnsi="Tahoma" w:cs="Tahoma"/>
          <w:i w:val="0"/>
          <w:sz w:val="24"/>
          <w:szCs w:val="24"/>
        </w:rPr>
        <w:t xml:space="preserve">                                  AND</w:t>
      </w:r>
    </w:p>
    <w:p w:rsidR="00264716" w:rsidRPr="007803BC" w:rsidRDefault="00264716" w:rsidP="008B7BA6">
      <w:pPr>
        <w:pStyle w:val="Heading5"/>
        <w:tabs>
          <w:tab w:val="left" w:pos="2880"/>
        </w:tabs>
        <w:ind w:left="2880" w:hanging="2880"/>
        <w:jc w:val="both"/>
        <w:rPr>
          <w:rFonts w:ascii="Tahoma" w:hAnsi="Tahoma" w:cs="Tahoma"/>
          <w:b w:val="0"/>
          <w:bCs w:val="0"/>
          <w:i w:val="0"/>
          <w:sz w:val="24"/>
          <w:szCs w:val="24"/>
        </w:rPr>
      </w:pPr>
      <w:r w:rsidRPr="007803BC">
        <w:rPr>
          <w:rFonts w:ascii="Tahoma" w:hAnsi="Tahoma" w:cs="Tahoma"/>
          <w:b w:val="0"/>
          <w:bCs w:val="0"/>
          <w:i w:val="0"/>
          <w:sz w:val="24"/>
          <w:szCs w:val="24"/>
        </w:rPr>
        <w:t>IN THE MATTER OF:</w:t>
      </w:r>
      <w:r w:rsidRPr="007803BC">
        <w:rPr>
          <w:rFonts w:ascii="Tahoma" w:hAnsi="Tahoma" w:cs="Tahoma"/>
          <w:b w:val="0"/>
          <w:bCs w:val="0"/>
          <w:i w:val="0"/>
          <w:sz w:val="24"/>
          <w:szCs w:val="24"/>
        </w:rPr>
        <w:tab/>
        <w:t xml:space="preserve">Chief Executive Officer, Central Electricity Supply Utility of </w:t>
      </w:r>
      <w:r>
        <w:rPr>
          <w:rFonts w:ascii="Tahoma" w:hAnsi="Tahoma" w:cs="Tahoma"/>
          <w:b w:val="0"/>
          <w:bCs w:val="0"/>
          <w:i w:val="0"/>
          <w:sz w:val="24"/>
          <w:szCs w:val="24"/>
        </w:rPr>
        <w:t>Odisha</w:t>
      </w:r>
      <w:r w:rsidRPr="007803BC">
        <w:rPr>
          <w:rFonts w:ascii="Tahoma" w:hAnsi="Tahoma" w:cs="Tahoma"/>
          <w:b w:val="0"/>
          <w:bCs w:val="0"/>
          <w:i w:val="0"/>
          <w:sz w:val="24"/>
          <w:szCs w:val="24"/>
        </w:rPr>
        <w:t xml:space="preserve"> (CESU), 2</w:t>
      </w:r>
      <w:r w:rsidRPr="007803BC">
        <w:rPr>
          <w:rFonts w:ascii="Tahoma" w:hAnsi="Tahoma" w:cs="Tahoma"/>
          <w:b w:val="0"/>
          <w:bCs w:val="0"/>
          <w:i w:val="0"/>
          <w:sz w:val="24"/>
          <w:szCs w:val="24"/>
          <w:vertAlign w:val="superscript"/>
        </w:rPr>
        <w:t>nd</w:t>
      </w:r>
      <w:r w:rsidRPr="007803BC">
        <w:rPr>
          <w:rFonts w:ascii="Tahoma" w:hAnsi="Tahoma" w:cs="Tahoma"/>
          <w:b w:val="0"/>
          <w:bCs w:val="0"/>
          <w:i w:val="0"/>
          <w:sz w:val="24"/>
          <w:szCs w:val="24"/>
        </w:rPr>
        <w:t xml:space="preserve"> Floor, IDCO Towers, Janpath, Bhubaneswar –   751 022. </w:t>
      </w:r>
    </w:p>
    <w:p w:rsidR="00264716" w:rsidRPr="007803BC" w:rsidRDefault="00264716" w:rsidP="008B7BA6">
      <w:pPr>
        <w:rPr>
          <w:rFonts w:ascii="Tahoma" w:hAnsi="Tahoma" w:cs="Tahoma"/>
        </w:rPr>
      </w:pPr>
    </w:p>
    <w:p w:rsidR="00264716" w:rsidRPr="007803BC" w:rsidRDefault="00264716" w:rsidP="008B7BA6">
      <w:pPr>
        <w:tabs>
          <w:tab w:val="left" w:pos="1080"/>
        </w:tabs>
        <w:spacing w:line="360" w:lineRule="auto"/>
        <w:jc w:val="both"/>
        <w:rPr>
          <w:rFonts w:ascii="Tahoma" w:hAnsi="Tahoma" w:cs="Tahoma"/>
          <w:b/>
          <w:bCs/>
        </w:rPr>
      </w:pP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r>
      <w:r w:rsidRPr="007803BC">
        <w:rPr>
          <w:rFonts w:ascii="Tahoma" w:hAnsi="Tahoma" w:cs="Tahoma"/>
          <w:b/>
          <w:bCs/>
        </w:rPr>
        <w:tab/>
        <w:t xml:space="preserve">                           …….Applicant</w:t>
      </w:r>
    </w:p>
    <w:p w:rsidR="00264716" w:rsidRPr="007803BC" w:rsidRDefault="00264716" w:rsidP="008B7BA6">
      <w:pPr>
        <w:tabs>
          <w:tab w:val="left" w:pos="1080"/>
        </w:tabs>
        <w:spacing w:line="360" w:lineRule="auto"/>
        <w:jc w:val="both"/>
        <w:rPr>
          <w:rFonts w:ascii="Tahoma" w:hAnsi="Tahoma" w:cs="Tahoma"/>
          <w:b/>
          <w:bCs/>
        </w:rPr>
      </w:pPr>
    </w:p>
    <w:p w:rsidR="00264716" w:rsidRPr="007803BC" w:rsidRDefault="00264716" w:rsidP="008B7BA6">
      <w:pPr>
        <w:jc w:val="both"/>
        <w:rPr>
          <w:rFonts w:ascii="Tahoma" w:hAnsi="Tahoma" w:cs="Tahoma"/>
          <w:b/>
          <w:bCs/>
        </w:rPr>
      </w:pPr>
      <w:r w:rsidRPr="007803BC">
        <w:rPr>
          <w:rFonts w:ascii="Tahoma" w:hAnsi="Tahoma" w:cs="Tahoma"/>
          <w:b/>
          <w:bCs/>
        </w:rPr>
        <w:t>THE HUMBLE APPLICANT ABOVE NAMED MOST REPSPECTFULLY SHEWETH:</w:t>
      </w:r>
    </w:p>
    <w:p w:rsidR="00264716" w:rsidRPr="007803BC" w:rsidRDefault="00264716" w:rsidP="008B7BA6">
      <w:pPr>
        <w:jc w:val="both"/>
        <w:rPr>
          <w:rFonts w:ascii="Tahoma" w:hAnsi="Tahoma" w:cs="Tahoma"/>
          <w:b/>
          <w:bCs/>
        </w:rPr>
      </w:pPr>
    </w:p>
    <w:p w:rsidR="00264716" w:rsidRPr="007803BC" w:rsidRDefault="00264716" w:rsidP="008B7BA6">
      <w:pPr>
        <w:tabs>
          <w:tab w:val="left" w:pos="540"/>
        </w:tabs>
        <w:spacing w:line="360" w:lineRule="auto"/>
        <w:ind w:left="540" w:hanging="900"/>
        <w:jc w:val="both"/>
        <w:rPr>
          <w:rFonts w:ascii="Tahoma" w:hAnsi="Tahoma" w:cs="Tahoma"/>
        </w:rPr>
      </w:pPr>
      <w:r>
        <w:rPr>
          <w:rFonts w:ascii="Tahoma" w:hAnsi="Tahoma" w:cs="Tahoma"/>
        </w:rPr>
        <w:t xml:space="preserve">  </w:t>
      </w:r>
      <w:r w:rsidRPr="007803BC">
        <w:rPr>
          <w:rFonts w:ascii="Tahoma" w:hAnsi="Tahoma" w:cs="Tahoma"/>
        </w:rPr>
        <w:t>1.</w:t>
      </w:r>
      <w:r w:rsidRPr="007803BC">
        <w:rPr>
          <w:rFonts w:ascii="Tahoma" w:hAnsi="Tahoma" w:cs="Tahoma"/>
          <w:b/>
          <w:bCs/>
        </w:rPr>
        <w:tab/>
      </w:r>
      <w:r>
        <w:rPr>
          <w:rFonts w:ascii="Tahoma" w:hAnsi="Tahoma" w:cs="Tahoma"/>
        </w:rPr>
        <w:t>That</w:t>
      </w:r>
      <w:r w:rsidRPr="007803BC">
        <w:rPr>
          <w:rFonts w:ascii="Tahoma" w:hAnsi="Tahoma" w:cs="Tahoma"/>
        </w:rPr>
        <w:t xml:space="preserve"> the Central Electricity Supply Utility of </w:t>
      </w:r>
      <w:r>
        <w:rPr>
          <w:rFonts w:ascii="Tahoma" w:hAnsi="Tahoma" w:cs="Tahoma"/>
        </w:rPr>
        <w:t>ODISHA</w:t>
      </w:r>
      <w:r w:rsidRPr="007803BC">
        <w:rPr>
          <w:rFonts w:ascii="Tahoma" w:hAnsi="Tahoma" w:cs="Tahoma"/>
        </w:rPr>
        <w:t xml:space="preserve"> is required to file the application for approval of Open Access Charges for the FY 2015-16 as per Clause–4 of OERC (Determination of Open Access Charges) Regulation 2006. </w:t>
      </w:r>
    </w:p>
    <w:p w:rsidR="00264716" w:rsidRPr="007803BC" w:rsidRDefault="00264716" w:rsidP="008B7BA6">
      <w:pPr>
        <w:tabs>
          <w:tab w:val="left" w:pos="540"/>
        </w:tabs>
        <w:spacing w:line="360" w:lineRule="auto"/>
        <w:ind w:left="540" w:hanging="720"/>
        <w:jc w:val="both"/>
        <w:rPr>
          <w:rFonts w:ascii="Tahoma" w:hAnsi="Tahoma" w:cs="Tahoma"/>
        </w:rPr>
      </w:pPr>
      <w:r w:rsidRPr="007803BC">
        <w:rPr>
          <w:rFonts w:ascii="Tahoma" w:hAnsi="Tahoma" w:cs="Tahoma"/>
        </w:rPr>
        <w:t>2.</w:t>
      </w:r>
      <w:r w:rsidRPr="007803BC">
        <w:rPr>
          <w:rFonts w:ascii="Tahoma" w:hAnsi="Tahoma" w:cs="Tahoma"/>
        </w:rPr>
        <w:tab/>
      </w:r>
      <w:r>
        <w:rPr>
          <w:rFonts w:ascii="Tahoma" w:hAnsi="Tahoma" w:cs="Tahoma"/>
        </w:rPr>
        <w:t xml:space="preserve">That CESU has </w:t>
      </w:r>
      <w:r w:rsidRPr="007803BC">
        <w:rPr>
          <w:rFonts w:ascii="Tahoma" w:hAnsi="Tahoma" w:cs="Tahoma"/>
        </w:rPr>
        <w:t>submitted the A</w:t>
      </w:r>
      <w:r>
        <w:rPr>
          <w:rFonts w:ascii="Tahoma" w:hAnsi="Tahoma" w:cs="Tahoma"/>
        </w:rPr>
        <w:t>nnual Revenue Requirement (A</w:t>
      </w:r>
      <w:r w:rsidRPr="007803BC">
        <w:rPr>
          <w:rFonts w:ascii="Tahoma" w:hAnsi="Tahoma" w:cs="Tahoma"/>
        </w:rPr>
        <w:t>RR</w:t>
      </w:r>
      <w:r>
        <w:rPr>
          <w:rFonts w:ascii="Tahoma" w:hAnsi="Tahoma" w:cs="Tahoma"/>
        </w:rPr>
        <w:t xml:space="preserve">) and the Retail Supply Tariff (RST) </w:t>
      </w:r>
      <w:r w:rsidRPr="007803BC">
        <w:rPr>
          <w:rFonts w:ascii="Tahoma" w:hAnsi="Tahoma" w:cs="Tahoma"/>
        </w:rPr>
        <w:t xml:space="preserve">application </w:t>
      </w:r>
      <w:r>
        <w:rPr>
          <w:rFonts w:ascii="Tahoma" w:hAnsi="Tahoma" w:cs="Tahoma"/>
        </w:rPr>
        <w:t xml:space="preserve">for the </w:t>
      </w:r>
      <w:r w:rsidRPr="007803BC">
        <w:rPr>
          <w:rFonts w:ascii="Tahoma" w:hAnsi="Tahoma" w:cs="Tahoma"/>
        </w:rPr>
        <w:t xml:space="preserve">FY 2015-16 </w:t>
      </w:r>
      <w:r>
        <w:rPr>
          <w:rFonts w:ascii="Tahoma" w:hAnsi="Tahoma" w:cs="Tahoma"/>
        </w:rPr>
        <w:t xml:space="preserve">before </w:t>
      </w:r>
      <w:r w:rsidRPr="007803BC">
        <w:rPr>
          <w:rFonts w:ascii="Tahoma" w:hAnsi="Tahoma" w:cs="Tahoma"/>
        </w:rPr>
        <w:t>the Hon’ble Commission</w:t>
      </w:r>
      <w:r>
        <w:rPr>
          <w:rFonts w:ascii="Tahoma" w:hAnsi="Tahoma" w:cs="Tahoma"/>
        </w:rPr>
        <w:t xml:space="preserve"> for consideration</w:t>
      </w:r>
      <w:r w:rsidRPr="007803BC">
        <w:rPr>
          <w:rFonts w:ascii="Tahoma" w:hAnsi="Tahoma" w:cs="Tahoma"/>
        </w:rPr>
        <w:t xml:space="preserve">. </w:t>
      </w:r>
    </w:p>
    <w:p w:rsidR="00264716" w:rsidRPr="007803BC" w:rsidRDefault="00264716" w:rsidP="008B7BA6">
      <w:pPr>
        <w:tabs>
          <w:tab w:val="left" w:pos="540"/>
        </w:tabs>
        <w:spacing w:line="360" w:lineRule="auto"/>
        <w:ind w:left="540" w:hanging="720"/>
        <w:jc w:val="both"/>
        <w:rPr>
          <w:rFonts w:ascii="Tahoma" w:hAnsi="Tahoma" w:cs="Tahoma"/>
        </w:rPr>
      </w:pPr>
      <w:r w:rsidRPr="007803BC">
        <w:rPr>
          <w:rFonts w:ascii="Tahoma" w:hAnsi="Tahoma" w:cs="Tahoma"/>
        </w:rPr>
        <w:t xml:space="preserve">3.     </w:t>
      </w:r>
      <w:r w:rsidRPr="007803BC">
        <w:rPr>
          <w:rFonts w:ascii="Tahoma" w:hAnsi="Tahoma" w:cs="Tahoma"/>
        </w:rPr>
        <w:tab/>
        <w:t xml:space="preserve">That for calculation of Open Access charges for the FY 2015-16, the </w:t>
      </w:r>
      <w:r>
        <w:rPr>
          <w:rFonts w:ascii="Tahoma" w:hAnsi="Tahoma" w:cs="Tahoma"/>
        </w:rPr>
        <w:t>projected</w:t>
      </w:r>
      <w:r w:rsidRPr="007803BC">
        <w:rPr>
          <w:rFonts w:ascii="Tahoma" w:hAnsi="Tahoma" w:cs="Tahoma"/>
        </w:rPr>
        <w:t xml:space="preserve"> figures for sales of energy, power purchase and distribution cost for FY 2015-16 </w:t>
      </w:r>
      <w:r>
        <w:rPr>
          <w:rFonts w:ascii="Tahoma" w:hAnsi="Tahoma" w:cs="Tahoma"/>
        </w:rPr>
        <w:t xml:space="preserve">are taken into </w:t>
      </w:r>
      <w:r w:rsidRPr="007803BC">
        <w:rPr>
          <w:rFonts w:ascii="Tahoma" w:hAnsi="Tahoma" w:cs="Tahoma"/>
        </w:rPr>
        <w:t>consider</w:t>
      </w:r>
      <w:r>
        <w:rPr>
          <w:rFonts w:ascii="Tahoma" w:hAnsi="Tahoma" w:cs="Tahoma"/>
        </w:rPr>
        <w:t>ation</w:t>
      </w:r>
      <w:r w:rsidRPr="007803BC">
        <w:rPr>
          <w:rFonts w:ascii="Tahoma" w:hAnsi="Tahoma" w:cs="Tahoma"/>
        </w:rPr>
        <w:t xml:space="preserve">. </w:t>
      </w:r>
    </w:p>
    <w:p w:rsidR="00264716" w:rsidRPr="007803BC" w:rsidRDefault="00264716" w:rsidP="008B7BA6">
      <w:pPr>
        <w:tabs>
          <w:tab w:val="left" w:pos="540"/>
        </w:tabs>
        <w:spacing w:line="360" w:lineRule="auto"/>
        <w:ind w:left="540" w:hanging="720"/>
        <w:jc w:val="both"/>
        <w:rPr>
          <w:rFonts w:ascii="Tahoma" w:hAnsi="Tahoma" w:cs="Tahoma"/>
        </w:rPr>
      </w:pPr>
      <w:r w:rsidRPr="007803BC">
        <w:rPr>
          <w:rFonts w:ascii="Tahoma" w:hAnsi="Tahoma" w:cs="Tahoma"/>
        </w:rPr>
        <w:t>4</w:t>
      </w:r>
      <w:r>
        <w:rPr>
          <w:rFonts w:ascii="Tahoma" w:hAnsi="Tahoma" w:cs="Tahoma"/>
        </w:rPr>
        <w:t>.</w:t>
      </w:r>
      <w:r>
        <w:rPr>
          <w:rFonts w:ascii="Tahoma" w:hAnsi="Tahoma" w:cs="Tahoma"/>
        </w:rPr>
        <w:tab/>
        <w:t>That</w:t>
      </w:r>
      <w:r w:rsidRPr="007803BC">
        <w:rPr>
          <w:rFonts w:ascii="Tahoma" w:hAnsi="Tahoma" w:cs="Tahoma"/>
        </w:rPr>
        <w:t xml:space="preserve"> the surcharge for Open Access </w:t>
      </w:r>
      <w:r>
        <w:rPr>
          <w:rFonts w:ascii="Tahoma" w:hAnsi="Tahoma" w:cs="Tahoma"/>
        </w:rPr>
        <w:t>by HT/EHT consumer</w:t>
      </w:r>
      <w:r w:rsidRPr="007803BC">
        <w:rPr>
          <w:rFonts w:ascii="Tahoma" w:hAnsi="Tahoma" w:cs="Tahoma"/>
        </w:rPr>
        <w:t xml:space="preserve">s </w:t>
      </w:r>
      <w:r>
        <w:rPr>
          <w:rFonts w:ascii="Tahoma" w:hAnsi="Tahoma" w:cs="Tahoma"/>
        </w:rPr>
        <w:t xml:space="preserve">are </w:t>
      </w:r>
      <w:r w:rsidRPr="007803BC">
        <w:rPr>
          <w:rFonts w:ascii="Tahoma" w:hAnsi="Tahoma" w:cs="Tahoma"/>
        </w:rPr>
        <w:t xml:space="preserve"> computed considering the approved </w:t>
      </w:r>
      <w:r>
        <w:rPr>
          <w:rFonts w:ascii="Tahoma" w:hAnsi="Tahoma" w:cs="Tahoma"/>
        </w:rPr>
        <w:t xml:space="preserve">Retail Supply Tariff for the FY </w:t>
      </w:r>
      <w:r w:rsidRPr="007803BC">
        <w:rPr>
          <w:rFonts w:ascii="Tahoma" w:hAnsi="Tahoma" w:cs="Tahoma"/>
        </w:rPr>
        <w:t>2014-15.</w:t>
      </w:r>
    </w:p>
    <w:p w:rsidR="00264716" w:rsidRPr="007803BC" w:rsidRDefault="00264716" w:rsidP="008B7BA6">
      <w:pPr>
        <w:tabs>
          <w:tab w:val="left" w:pos="900"/>
        </w:tabs>
        <w:spacing w:line="360" w:lineRule="auto"/>
        <w:ind w:left="900" w:hanging="900"/>
        <w:jc w:val="both"/>
        <w:rPr>
          <w:rFonts w:ascii="Tahoma" w:hAnsi="Tahoma" w:cs="Tahoma"/>
        </w:rPr>
      </w:pPr>
    </w:p>
    <w:p w:rsidR="00264716" w:rsidRPr="007803BC" w:rsidRDefault="00264716" w:rsidP="008B7BA6">
      <w:pPr>
        <w:tabs>
          <w:tab w:val="left" w:pos="900"/>
        </w:tabs>
        <w:spacing w:line="360" w:lineRule="auto"/>
        <w:ind w:left="900" w:hanging="900"/>
        <w:jc w:val="both"/>
        <w:rPr>
          <w:rFonts w:ascii="Tahoma" w:hAnsi="Tahoma" w:cs="Tahoma"/>
        </w:rPr>
      </w:pP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r>
      <w:r w:rsidRPr="007803BC">
        <w:rPr>
          <w:rFonts w:ascii="Tahoma" w:hAnsi="Tahoma" w:cs="Tahoma"/>
        </w:rPr>
        <w:tab/>
        <w:t xml:space="preserve">      Cont’d…..P/2.</w:t>
      </w:r>
    </w:p>
    <w:p w:rsidR="00264716" w:rsidRPr="007803BC" w:rsidRDefault="00264716" w:rsidP="008B7BA6">
      <w:pPr>
        <w:tabs>
          <w:tab w:val="left" w:pos="900"/>
        </w:tabs>
        <w:spacing w:line="360" w:lineRule="auto"/>
        <w:ind w:left="900" w:hanging="900"/>
        <w:jc w:val="both"/>
        <w:rPr>
          <w:rFonts w:ascii="Tahoma" w:hAnsi="Tahoma" w:cs="Tahoma"/>
        </w:rPr>
      </w:pPr>
    </w:p>
    <w:p w:rsidR="00264716" w:rsidRDefault="00264716" w:rsidP="008B7BA6">
      <w:pPr>
        <w:tabs>
          <w:tab w:val="left" w:pos="900"/>
        </w:tabs>
        <w:spacing w:line="360" w:lineRule="auto"/>
        <w:ind w:left="900" w:hanging="900"/>
        <w:jc w:val="center"/>
        <w:rPr>
          <w:rFonts w:ascii="Tahoma" w:hAnsi="Tahoma" w:cs="Tahoma"/>
        </w:rPr>
      </w:pPr>
    </w:p>
    <w:p w:rsidR="00264716" w:rsidRDefault="00264716" w:rsidP="008B7BA6">
      <w:pPr>
        <w:tabs>
          <w:tab w:val="left" w:pos="900"/>
        </w:tabs>
        <w:spacing w:line="360" w:lineRule="auto"/>
        <w:ind w:left="900" w:hanging="900"/>
        <w:jc w:val="center"/>
        <w:rPr>
          <w:rFonts w:ascii="Tahoma" w:hAnsi="Tahoma" w:cs="Tahoma"/>
        </w:rPr>
      </w:pPr>
    </w:p>
    <w:p w:rsidR="00264716" w:rsidRPr="007803BC" w:rsidRDefault="00264716" w:rsidP="008B7BA6">
      <w:pPr>
        <w:tabs>
          <w:tab w:val="left" w:pos="900"/>
        </w:tabs>
        <w:spacing w:line="360" w:lineRule="auto"/>
        <w:ind w:left="900" w:hanging="900"/>
        <w:jc w:val="center"/>
        <w:rPr>
          <w:rFonts w:ascii="Tahoma" w:hAnsi="Tahoma" w:cs="Tahoma"/>
        </w:rPr>
      </w:pPr>
      <w:r w:rsidRPr="007803BC">
        <w:rPr>
          <w:rFonts w:ascii="Tahoma" w:hAnsi="Tahoma" w:cs="Tahoma"/>
        </w:rPr>
        <w:t>- 2 -</w:t>
      </w:r>
    </w:p>
    <w:p w:rsidR="00264716" w:rsidRPr="007803BC" w:rsidRDefault="00264716" w:rsidP="008B7BA6">
      <w:pPr>
        <w:tabs>
          <w:tab w:val="left" w:pos="900"/>
        </w:tabs>
        <w:spacing w:line="360" w:lineRule="auto"/>
        <w:ind w:left="900" w:hanging="900"/>
        <w:jc w:val="both"/>
        <w:rPr>
          <w:rFonts w:ascii="Tahoma" w:hAnsi="Tahoma" w:cs="Tahoma"/>
        </w:rPr>
      </w:pPr>
    </w:p>
    <w:p w:rsidR="00264716" w:rsidRPr="007803BC" w:rsidRDefault="00264716" w:rsidP="008B7BA6">
      <w:pPr>
        <w:tabs>
          <w:tab w:val="left" w:pos="900"/>
        </w:tabs>
        <w:spacing w:line="360" w:lineRule="auto"/>
        <w:ind w:left="900" w:hanging="900"/>
        <w:jc w:val="both"/>
        <w:rPr>
          <w:rFonts w:ascii="Tahoma" w:hAnsi="Tahoma" w:cs="Tahoma"/>
          <w:bCs/>
        </w:rPr>
      </w:pPr>
      <w:r w:rsidRPr="007803BC">
        <w:rPr>
          <w:rFonts w:ascii="Tahoma" w:hAnsi="Tahoma" w:cs="Tahoma"/>
        </w:rPr>
        <w:t>5.</w:t>
      </w:r>
      <w:r w:rsidRPr="007803BC">
        <w:rPr>
          <w:rFonts w:ascii="Tahoma" w:hAnsi="Tahoma" w:cs="Tahoma"/>
        </w:rPr>
        <w:tab/>
      </w:r>
      <w:r>
        <w:rPr>
          <w:rFonts w:ascii="Tahoma" w:hAnsi="Tahoma" w:cs="Tahoma"/>
        </w:rPr>
        <w:t xml:space="preserve">That for determination of </w:t>
      </w:r>
      <w:r w:rsidRPr="007803BC">
        <w:rPr>
          <w:rFonts w:ascii="Tahoma" w:hAnsi="Tahoma" w:cs="Tahoma"/>
          <w:bCs/>
        </w:rPr>
        <w:t>Open Access cha</w:t>
      </w:r>
      <w:r>
        <w:rPr>
          <w:rFonts w:ascii="Tahoma" w:hAnsi="Tahoma" w:cs="Tahoma"/>
          <w:bCs/>
        </w:rPr>
        <w:t xml:space="preserve">rges </w:t>
      </w:r>
      <w:r w:rsidRPr="007803BC">
        <w:rPr>
          <w:rFonts w:ascii="Tahoma" w:hAnsi="Tahoma" w:cs="Tahoma"/>
          <w:bCs/>
        </w:rPr>
        <w:t>for the FY.2015-16</w:t>
      </w:r>
      <w:r>
        <w:rPr>
          <w:rFonts w:ascii="Tahoma" w:hAnsi="Tahoma" w:cs="Tahoma"/>
          <w:bCs/>
        </w:rPr>
        <w:t>, Retail Supply Tariff that would be approved  by the Hon’ble Commission for FY.2015-16 m</w:t>
      </w:r>
      <w:r w:rsidRPr="007803BC">
        <w:rPr>
          <w:rFonts w:ascii="Tahoma" w:hAnsi="Tahoma" w:cs="Tahoma"/>
          <w:bCs/>
        </w:rPr>
        <w:t xml:space="preserve">ay </w:t>
      </w:r>
      <w:r>
        <w:rPr>
          <w:rFonts w:ascii="Tahoma" w:hAnsi="Tahoma" w:cs="Tahoma"/>
          <w:bCs/>
        </w:rPr>
        <w:t xml:space="preserve">be </w:t>
      </w:r>
      <w:r w:rsidRPr="007803BC">
        <w:rPr>
          <w:rFonts w:ascii="Tahoma" w:hAnsi="Tahoma" w:cs="Tahoma"/>
          <w:bCs/>
        </w:rPr>
        <w:t>consider</w:t>
      </w:r>
      <w:r>
        <w:rPr>
          <w:rFonts w:ascii="Tahoma" w:hAnsi="Tahoma" w:cs="Tahoma"/>
          <w:bCs/>
        </w:rPr>
        <w:t>ed</w:t>
      </w:r>
      <w:r w:rsidRPr="007803BC">
        <w:rPr>
          <w:rFonts w:ascii="Tahoma" w:hAnsi="Tahoma" w:cs="Tahoma"/>
          <w:bCs/>
        </w:rPr>
        <w:t>.</w:t>
      </w:r>
    </w:p>
    <w:p w:rsidR="00264716" w:rsidRPr="007803BC" w:rsidRDefault="00264716" w:rsidP="008B7BA6">
      <w:pPr>
        <w:pStyle w:val="Heading7"/>
        <w:jc w:val="center"/>
        <w:rPr>
          <w:rFonts w:ascii="Tahoma" w:hAnsi="Tahoma" w:cs="Tahoma"/>
          <w:b/>
          <w:u w:val="single"/>
        </w:rPr>
      </w:pPr>
      <w:r w:rsidRPr="007803BC">
        <w:rPr>
          <w:rFonts w:ascii="Tahoma" w:hAnsi="Tahoma" w:cs="Tahoma"/>
          <w:b/>
          <w:u w:val="single"/>
        </w:rPr>
        <w:t>P R A Y E R</w:t>
      </w:r>
    </w:p>
    <w:p w:rsidR="00264716" w:rsidRPr="007803BC" w:rsidRDefault="00264716" w:rsidP="008B7BA6">
      <w:pPr>
        <w:rPr>
          <w:rFonts w:ascii="Tahoma" w:hAnsi="Tahoma" w:cs="Tahoma"/>
        </w:rPr>
      </w:pPr>
    </w:p>
    <w:p w:rsidR="00264716" w:rsidRPr="007803BC" w:rsidRDefault="00264716" w:rsidP="008B7BA6">
      <w:pPr>
        <w:tabs>
          <w:tab w:val="left" w:pos="900"/>
        </w:tabs>
        <w:spacing w:line="360" w:lineRule="auto"/>
        <w:jc w:val="both"/>
        <w:rPr>
          <w:rFonts w:ascii="Tahoma" w:hAnsi="Tahoma" w:cs="Tahoma"/>
        </w:rPr>
      </w:pPr>
      <w:r w:rsidRPr="007803BC">
        <w:rPr>
          <w:rFonts w:ascii="Tahoma" w:hAnsi="Tahoma" w:cs="Tahoma"/>
        </w:rPr>
        <w:tab/>
        <w:t>In view of the above, it is respectfully prayed that the Hon’ble Commission may kindly be pleased to:</w:t>
      </w:r>
    </w:p>
    <w:p w:rsidR="00264716" w:rsidRPr="007803BC" w:rsidRDefault="00264716" w:rsidP="008B7BA6">
      <w:pPr>
        <w:tabs>
          <w:tab w:val="left" w:pos="900"/>
        </w:tabs>
        <w:spacing w:line="360" w:lineRule="auto"/>
        <w:jc w:val="both"/>
        <w:rPr>
          <w:rFonts w:ascii="Tahoma" w:hAnsi="Tahoma" w:cs="Tahoma"/>
        </w:rPr>
      </w:pPr>
      <w:r>
        <w:rPr>
          <w:rFonts w:ascii="Tahoma" w:hAnsi="Tahoma" w:cs="Tahoma"/>
        </w:rPr>
        <w:t>I.</w:t>
      </w:r>
      <w:r>
        <w:rPr>
          <w:rFonts w:ascii="Tahoma" w:hAnsi="Tahoma" w:cs="Tahoma"/>
        </w:rPr>
        <w:tab/>
        <w:t>Accept</w:t>
      </w:r>
      <w:r w:rsidRPr="007803BC">
        <w:rPr>
          <w:rFonts w:ascii="Tahoma" w:hAnsi="Tahoma" w:cs="Tahoma"/>
        </w:rPr>
        <w:t xml:space="preserve"> Open Access charges application of the </w:t>
      </w:r>
      <w:r>
        <w:rPr>
          <w:rFonts w:ascii="Tahoma" w:hAnsi="Tahoma" w:cs="Tahoma"/>
        </w:rPr>
        <w:t>applicant</w:t>
      </w:r>
      <w:r w:rsidRPr="007803BC">
        <w:rPr>
          <w:rFonts w:ascii="Tahoma" w:hAnsi="Tahoma" w:cs="Tahoma"/>
        </w:rPr>
        <w:t>.</w:t>
      </w:r>
    </w:p>
    <w:p w:rsidR="00264716" w:rsidRPr="007803BC" w:rsidRDefault="00264716" w:rsidP="008B7BA6">
      <w:pPr>
        <w:tabs>
          <w:tab w:val="left" w:pos="900"/>
        </w:tabs>
        <w:spacing w:line="360" w:lineRule="auto"/>
        <w:ind w:left="900" w:hanging="900"/>
        <w:jc w:val="both"/>
        <w:rPr>
          <w:rFonts w:ascii="Tahoma" w:hAnsi="Tahoma" w:cs="Tahoma"/>
        </w:rPr>
      </w:pPr>
      <w:r>
        <w:rPr>
          <w:rFonts w:ascii="Tahoma" w:hAnsi="Tahoma" w:cs="Tahoma"/>
        </w:rPr>
        <w:t>II.</w:t>
      </w:r>
      <w:r>
        <w:rPr>
          <w:rFonts w:ascii="Tahoma" w:hAnsi="Tahoma" w:cs="Tahoma"/>
        </w:rPr>
        <w:tab/>
        <w:t xml:space="preserve">Approve </w:t>
      </w:r>
      <w:r w:rsidRPr="007803BC">
        <w:rPr>
          <w:rFonts w:ascii="Tahoma" w:hAnsi="Tahoma" w:cs="Tahoma"/>
        </w:rPr>
        <w:t>Open Access charges of the Utility for the FY 2015-16.</w:t>
      </w:r>
    </w:p>
    <w:p w:rsidR="00264716" w:rsidRPr="007803BC" w:rsidRDefault="00264716" w:rsidP="008B7BA6">
      <w:pPr>
        <w:tabs>
          <w:tab w:val="left" w:pos="900"/>
        </w:tabs>
        <w:spacing w:line="360" w:lineRule="auto"/>
        <w:jc w:val="both"/>
        <w:rPr>
          <w:rFonts w:ascii="Tahoma" w:hAnsi="Tahoma" w:cs="Tahoma"/>
        </w:rPr>
      </w:pPr>
      <w:r>
        <w:rPr>
          <w:rFonts w:ascii="Tahoma" w:hAnsi="Tahoma" w:cs="Tahoma"/>
        </w:rPr>
        <w:t>III</w:t>
      </w:r>
      <w:r w:rsidRPr="007803BC">
        <w:rPr>
          <w:rFonts w:ascii="Tahoma" w:hAnsi="Tahoma" w:cs="Tahoma"/>
        </w:rPr>
        <w:t>.</w:t>
      </w:r>
      <w:r w:rsidRPr="007803BC">
        <w:rPr>
          <w:rFonts w:ascii="Tahoma" w:hAnsi="Tahoma" w:cs="Tahoma"/>
        </w:rPr>
        <w:tab/>
        <w:t>Grant any other relief as deem</w:t>
      </w:r>
      <w:r>
        <w:rPr>
          <w:rFonts w:ascii="Tahoma" w:hAnsi="Tahoma" w:cs="Tahoma"/>
        </w:rPr>
        <w:t>ed</w:t>
      </w:r>
      <w:r w:rsidRPr="007803BC">
        <w:rPr>
          <w:rFonts w:ascii="Tahoma" w:hAnsi="Tahoma" w:cs="Tahoma"/>
        </w:rPr>
        <w:t xml:space="preserve"> fit and proper in the eyes of law.</w:t>
      </w:r>
    </w:p>
    <w:p w:rsidR="00264716" w:rsidRPr="007803BC" w:rsidRDefault="00264716" w:rsidP="008B7BA6">
      <w:pPr>
        <w:tabs>
          <w:tab w:val="left" w:pos="900"/>
        </w:tabs>
        <w:spacing w:line="360" w:lineRule="auto"/>
        <w:jc w:val="both"/>
        <w:rPr>
          <w:rFonts w:ascii="Tahoma" w:hAnsi="Tahoma" w:cs="Tahoma"/>
        </w:rPr>
      </w:pPr>
    </w:p>
    <w:p w:rsidR="00264716" w:rsidRPr="007803BC" w:rsidRDefault="00264716" w:rsidP="008B7BA6">
      <w:pPr>
        <w:tabs>
          <w:tab w:val="left" w:pos="900"/>
        </w:tabs>
        <w:spacing w:line="360" w:lineRule="auto"/>
        <w:jc w:val="both"/>
        <w:rPr>
          <w:rFonts w:ascii="Tahoma" w:hAnsi="Tahoma" w:cs="Tahoma"/>
          <w:b/>
          <w:bCs/>
        </w:rPr>
      </w:pPr>
      <w:r w:rsidRPr="007803BC">
        <w:rPr>
          <w:rFonts w:ascii="Tahoma" w:hAnsi="Tahoma" w:cs="Tahoma"/>
        </w:rPr>
        <w:t>And for this act of kindness the applicant as in duty bound shall ever pray.</w:t>
      </w:r>
    </w:p>
    <w:p w:rsidR="00264716" w:rsidRPr="007803BC" w:rsidRDefault="00264716" w:rsidP="008B7BA6">
      <w:pPr>
        <w:tabs>
          <w:tab w:val="left" w:pos="1080"/>
        </w:tabs>
        <w:ind w:left="1080" w:hanging="1080"/>
        <w:jc w:val="both"/>
        <w:rPr>
          <w:rFonts w:ascii="Tahoma" w:hAnsi="Tahoma" w:cs="Tahoma"/>
          <w:b/>
          <w:bCs/>
        </w:rPr>
      </w:pPr>
    </w:p>
    <w:p w:rsidR="00264716" w:rsidRDefault="00264716" w:rsidP="008B7BA6">
      <w:pPr>
        <w:spacing w:line="360" w:lineRule="auto"/>
        <w:rPr>
          <w:rFonts w:ascii="Verdana" w:hAnsi="Verdana"/>
          <w:b/>
        </w:rPr>
      </w:pPr>
      <w:r w:rsidRPr="007803BC">
        <w:rPr>
          <w:rFonts w:ascii="Tahoma" w:hAnsi="Tahoma" w:cs="Tahoma"/>
          <w:b/>
          <w:bCs/>
        </w:rPr>
        <w:t xml:space="preserve">Bhubaneswar                                       </w:t>
      </w:r>
      <w:r>
        <w:rPr>
          <w:rFonts w:ascii="Verdana" w:hAnsi="Verdana"/>
          <w:b/>
        </w:rPr>
        <w:t>BY THE APPLICANT THROUGH</w:t>
      </w:r>
    </w:p>
    <w:p w:rsidR="00264716" w:rsidRPr="007803BC" w:rsidRDefault="00264716" w:rsidP="008B7BA6">
      <w:pPr>
        <w:tabs>
          <w:tab w:val="left" w:pos="1080"/>
        </w:tabs>
        <w:spacing w:line="360" w:lineRule="auto"/>
        <w:ind w:left="1080" w:hanging="1080"/>
        <w:jc w:val="both"/>
        <w:rPr>
          <w:rFonts w:ascii="Tahoma" w:hAnsi="Tahoma" w:cs="Tahoma"/>
          <w:b/>
          <w:bCs/>
        </w:rPr>
      </w:pPr>
      <w:r w:rsidRPr="007803BC">
        <w:rPr>
          <w:rFonts w:ascii="Tahoma" w:hAnsi="Tahoma" w:cs="Tahoma"/>
          <w:b/>
          <w:bCs/>
        </w:rPr>
        <w:t xml:space="preserve">Date: </w:t>
      </w:r>
      <w:r>
        <w:rPr>
          <w:rFonts w:ascii="Tahoma" w:hAnsi="Tahoma" w:cs="Tahoma"/>
          <w:b/>
          <w:bCs/>
        </w:rPr>
        <w:t xml:space="preserve">  .12</w:t>
      </w:r>
      <w:r w:rsidRPr="007803BC">
        <w:rPr>
          <w:rFonts w:ascii="Tahoma" w:hAnsi="Tahoma" w:cs="Tahoma"/>
          <w:b/>
          <w:bCs/>
        </w:rPr>
        <w:t>.2014</w:t>
      </w:r>
    </w:p>
    <w:p w:rsidR="00264716" w:rsidRPr="007803BC" w:rsidRDefault="00264716" w:rsidP="008B7BA6">
      <w:pPr>
        <w:tabs>
          <w:tab w:val="left" w:pos="1080"/>
        </w:tabs>
        <w:spacing w:line="360" w:lineRule="auto"/>
        <w:ind w:left="1080" w:hanging="1080"/>
        <w:jc w:val="both"/>
        <w:rPr>
          <w:rFonts w:ascii="Tahoma" w:hAnsi="Tahoma" w:cs="Tahoma"/>
        </w:rPr>
      </w:pPr>
    </w:p>
    <w:p w:rsidR="00264716" w:rsidRPr="007803BC" w:rsidRDefault="00264716" w:rsidP="008B7BA6">
      <w:pPr>
        <w:spacing w:line="360" w:lineRule="auto"/>
        <w:jc w:val="both"/>
        <w:rPr>
          <w:rFonts w:ascii="Tahoma" w:hAnsi="Tahoma" w:cs="Tahoma"/>
        </w:rPr>
      </w:pPr>
      <w:r w:rsidRPr="007803BC">
        <w:t xml:space="preserve">                                                                       </w:t>
      </w:r>
      <w:r>
        <w:t xml:space="preserve">            </w:t>
      </w:r>
      <w:r w:rsidRPr="007803BC">
        <w:rPr>
          <w:rFonts w:ascii="Tahoma" w:hAnsi="Tahoma" w:cs="Tahoma"/>
          <w:b/>
        </w:rPr>
        <w:t>(SUSHIL KUMAR POPLI)</w:t>
      </w:r>
    </w:p>
    <w:p w:rsidR="00264716" w:rsidRPr="007803BC" w:rsidRDefault="00264716" w:rsidP="008B7BA6">
      <w:pPr>
        <w:tabs>
          <w:tab w:val="left" w:pos="1080"/>
        </w:tabs>
        <w:ind w:left="1080" w:hanging="1080"/>
        <w:jc w:val="both"/>
        <w:rPr>
          <w:b/>
          <w:bCs/>
        </w:rPr>
      </w:pPr>
      <w:r w:rsidRPr="007803BC">
        <w:t xml:space="preserve">                                                                </w:t>
      </w:r>
      <w:r>
        <w:t xml:space="preserve">               </w:t>
      </w:r>
      <w:r w:rsidRPr="007803BC">
        <w:t xml:space="preserve"> </w:t>
      </w:r>
      <w:r w:rsidRPr="007803BC">
        <w:rPr>
          <w:b/>
          <w:bCs/>
        </w:rPr>
        <w:t>CHIEF EXECUTIVE OFFICER</w:t>
      </w: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r>
        <w:rPr>
          <w:rFonts w:ascii="Tahoma" w:hAnsi="Tahoma" w:cs="Tahoma"/>
          <w:b/>
          <w:bCs/>
        </w:rPr>
        <w:t xml:space="preserve">             </w:t>
      </w: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r>
        <w:rPr>
          <w:rFonts w:ascii="Tahoma" w:hAnsi="Tahoma" w:cs="Tahoma"/>
          <w:b/>
          <w:bCs/>
        </w:rPr>
        <w:t xml:space="preserve">    APPLICATION FOR OPEN ACCESS CHARGES FOR FY 2015-16</w:t>
      </w: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spacing w:line="360" w:lineRule="auto"/>
        <w:jc w:val="both"/>
        <w:rPr>
          <w:rFonts w:ascii="Tahoma" w:hAnsi="Tahoma" w:cs="Tahoma"/>
        </w:rPr>
      </w:pPr>
      <w:r>
        <w:rPr>
          <w:rFonts w:ascii="Tahoma" w:hAnsi="Tahoma" w:cs="Tahoma"/>
        </w:rPr>
        <w:tab/>
        <w:t xml:space="preserve">CESU being a distribution licensee for Central Zone Electricity Distribution network of Orissa is required to submit proposal for approval of Open Access charges before the Hon’ble Commission for the FY 2015-16 as per the provisions of sub Section (2), (3) &amp; (4) of Section 42 of I.E. Act 2003 , OERC (Terms &amp; Conditions for Determination of Tariff) Regulations – 2004, OERC (Terms and conditions for Open Access) Regulation, 2005 and OERC (Determination of Open Access Charges) Regulation, 2006. Any customer under the license area of CESU intending to avail one MW or more power from any other Utility or generator availing open access  facility of distribution network of the Licensee may do so, by paying Open Access Charges applicable from time to time. This application is for approval of open access charges for FY 2015-16. For determination of open access charges the Financial Year 2015-16, the Licensee considered following figures of its ARR application for FY 2015-16. </w:t>
      </w:r>
    </w:p>
    <w:p w:rsidR="00264716" w:rsidRDefault="00264716" w:rsidP="00200789">
      <w:pPr>
        <w:tabs>
          <w:tab w:val="left" w:pos="900"/>
          <w:tab w:val="left" w:pos="2160"/>
        </w:tabs>
        <w:spacing w:line="360" w:lineRule="auto"/>
        <w:ind w:left="900" w:hanging="900"/>
        <w:jc w:val="both"/>
        <w:rPr>
          <w:rFonts w:ascii="Tahoma" w:hAnsi="Tahoma" w:cs="Tahoma"/>
        </w:rPr>
      </w:pPr>
    </w:p>
    <w:p w:rsidR="00264716" w:rsidRDefault="00264716" w:rsidP="00D03E06">
      <w:pPr>
        <w:numPr>
          <w:ilvl w:val="0"/>
          <w:numId w:val="7"/>
        </w:numPr>
        <w:tabs>
          <w:tab w:val="left" w:pos="900"/>
          <w:tab w:val="left" w:pos="2160"/>
        </w:tabs>
        <w:spacing w:line="360" w:lineRule="auto"/>
        <w:jc w:val="both"/>
        <w:rPr>
          <w:rFonts w:ascii="Tahoma" w:hAnsi="Tahoma" w:cs="Tahoma"/>
        </w:rPr>
      </w:pPr>
      <w:r>
        <w:rPr>
          <w:rFonts w:ascii="Tahoma" w:hAnsi="Tahoma" w:cs="Tahoma"/>
        </w:rPr>
        <w:t>Projected distribution cost.</w:t>
      </w:r>
    </w:p>
    <w:p w:rsidR="00264716" w:rsidRDefault="00264716" w:rsidP="00D03E06">
      <w:pPr>
        <w:numPr>
          <w:ilvl w:val="0"/>
          <w:numId w:val="7"/>
        </w:numPr>
        <w:tabs>
          <w:tab w:val="left" w:pos="900"/>
          <w:tab w:val="left" w:pos="2160"/>
        </w:tabs>
        <w:spacing w:line="360" w:lineRule="auto"/>
        <w:jc w:val="both"/>
        <w:rPr>
          <w:rFonts w:ascii="Tahoma" w:hAnsi="Tahoma" w:cs="Tahoma"/>
        </w:rPr>
      </w:pPr>
      <w:r>
        <w:rPr>
          <w:rFonts w:ascii="Tahoma" w:hAnsi="Tahoma" w:cs="Tahoma"/>
        </w:rPr>
        <w:t>Estimated bulk energy purchase and sales to different category of consumers</w:t>
      </w:r>
    </w:p>
    <w:p w:rsidR="00264716" w:rsidRDefault="00264716" w:rsidP="00D03E06">
      <w:pPr>
        <w:tabs>
          <w:tab w:val="left" w:pos="900"/>
          <w:tab w:val="left" w:pos="2160"/>
        </w:tabs>
        <w:spacing w:line="360" w:lineRule="auto"/>
        <w:ind w:left="900"/>
        <w:jc w:val="both"/>
        <w:rPr>
          <w:rFonts w:ascii="Tahoma" w:hAnsi="Tahoma" w:cs="Tahoma"/>
        </w:rPr>
      </w:pPr>
      <w:r>
        <w:rPr>
          <w:rFonts w:ascii="Tahoma" w:hAnsi="Tahoma" w:cs="Tahoma"/>
        </w:rPr>
        <w:t>availing supply in LT/HT/EHT network.</w:t>
      </w:r>
    </w:p>
    <w:p w:rsidR="00264716" w:rsidRDefault="00264716" w:rsidP="00EF3A11">
      <w:pPr>
        <w:numPr>
          <w:ilvl w:val="0"/>
          <w:numId w:val="7"/>
        </w:numPr>
        <w:tabs>
          <w:tab w:val="left" w:pos="900"/>
          <w:tab w:val="left" w:pos="2160"/>
        </w:tabs>
        <w:spacing w:line="360" w:lineRule="auto"/>
        <w:jc w:val="both"/>
        <w:rPr>
          <w:rFonts w:ascii="Tahoma" w:hAnsi="Tahoma" w:cs="Tahoma"/>
        </w:rPr>
      </w:pPr>
      <w:r>
        <w:rPr>
          <w:rFonts w:ascii="Tahoma" w:hAnsi="Tahoma" w:cs="Tahoma"/>
        </w:rPr>
        <w:t>Proposed retail tariff for all categories of consumers.</w:t>
      </w:r>
    </w:p>
    <w:p w:rsidR="00264716" w:rsidRPr="00EF3A11" w:rsidRDefault="00264716" w:rsidP="00200789">
      <w:pPr>
        <w:numPr>
          <w:ilvl w:val="0"/>
          <w:numId w:val="7"/>
        </w:numPr>
        <w:tabs>
          <w:tab w:val="left" w:pos="900"/>
          <w:tab w:val="left" w:pos="2160"/>
        </w:tabs>
        <w:spacing w:line="360" w:lineRule="auto"/>
        <w:jc w:val="both"/>
        <w:rPr>
          <w:rFonts w:ascii="Tahoma" w:hAnsi="Tahoma" w:cs="Tahoma"/>
        </w:rPr>
      </w:pPr>
      <w:r w:rsidRPr="00EF3A11">
        <w:rPr>
          <w:rFonts w:ascii="Tahoma" w:hAnsi="Tahoma" w:cs="Tahoma"/>
        </w:rPr>
        <w:t xml:space="preserve">Retail &amp; bulk supply tariff approved </w:t>
      </w:r>
      <w:r>
        <w:rPr>
          <w:rFonts w:ascii="Tahoma" w:hAnsi="Tahoma" w:cs="Tahoma"/>
        </w:rPr>
        <w:t>for FY 2014-15.</w:t>
      </w:r>
    </w:p>
    <w:p w:rsidR="00264716" w:rsidRDefault="00264716" w:rsidP="00200789">
      <w:pPr>
        <w:tabs>
          <w:tab w:val="left" w:pos="900"/>
          <w:tab w:val="left" w:pos="2160"/>
        </w:tabs>
        <w:spacing w:line="360" w:lineRule="auto"/>
        <w:jc w:val="both"/>
        <w:rPr>
          <w:rFonts w:ascii="Tahoma" w:hAnsi="Tahoma" w:cs="Tahoma"/>
        </w:rPr>
      </w:pPr>
      <w:r>
        <w:rPr>
          <w:rFonts w:ascii="Tahoma" w:hAnsi="Tahoma" w:cs="Tahoma"/>
        </w:rPr>
        <w:tab/>
        <w:t xml:space="preserve">Further the computations of Open Access Charges are based on following assumptions which are justified and incumbent to the Electricity distribution system. </w:t>
      </w:r>
    </w:p>
    <w:p w:rsidR="00264716" w:rsidRDefault="00264716" w:rsidP="00200789">
      <w:pPr>
        <w:tabs>
          <w:tab w:val="left" w:pos="900"/>
          <w:tab w:val="left" w:pos="1800"/>
          <w:tab w:val="left" w:pos="2160"/>
        </w:tabs>
        <w:jc w:val="both"/>
        <w:rPr>
          <w:rFonts w:ascii="Tahoma" w:hAnsi="Tahoma" w:cs="Tahoma"/>
        </w:rPr>
      </w:pPr>
    </w:p>
    <w:p w:rsidR="00264716" w:rsidRDefault="00264716" w:rsidP="001F23A7">
      <w:pPr>
        <w:tabs>
          <w:tab w:val="left" w:pos="900"/>
          <w:tab w:val="left" w:pos="1800"/>
          <w:tab w:val="left" w:pos="2160"/>
        </w:tabs>
        <w:spacing w:line="360" w:lineRule="auto"/>
        <w:ind w:left="900" w:hanging="900"/>
        <w:jc w:val="both"/>
        <w:rPr>
          <w:rFonts w:ascii="Tahoma" w:hAnsi="Tahoma" w:cs="Tahoma"/>
        </w:rPr>
      </w:pPr>
      <w:r>
        <w:rPr>
          <w:rFonts w:ascii="Tahoma" w:hAnsi="Tahoma" w:cs="Tahoma"/>
        </w:rPr>
        <w:t>1.</w:t>
      </w:r>
      <w:r>
        <w:rPr>
          <w:rFonts w:ascii="Tahoma" w:hAnsi="Tahoma" w:cs="Tahoma"/>
        </w:rPr>
        <w:tab/>
        <w:t>The Open Access charges are applicable to both long-term and short-term customers.</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2.</w:t>
      </w:r>
      <w:r>
        <w:rPr>
          <w:rFonts w:ascii="Tahoma" w:hAnsi="Tahoma" w:cs="Tahoma"/>
        </w:rPr>
        <w:tab/>
        <w:t xml:space="preserve">Open Access applicants requiring load more than 1MW are only envisaged in this application. Load below 1 MW is not considered as this does not appear in Section 11 “Phasing of Open Access” in OERC (Terms &amp; Condition of Open Access) regulations 2005. </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3.</w:t>
      </w:r>
      <w:r>
        <w:rPr>
          <w:rFonts w:ascii="Tahoma" w:hAnsi="Tahoma" w:cs="Tahoma"/>
        </w:rPr>
        <w:tab/>
        <w:t>Wheeling charge is payable to avail Open Access to HT network only. (33KV or 11KV)</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p>
    <w:p w:rsidR="00264716" w:rsidRDefault="00264716" w:rsidP="00200789">
      <w:pPr>
        <w:tabs>
          <w:tab w:val="left" w:pos="900"/>
          <w:tab w:val="left" w:pos="1800"/>
          <w:tab w:val="left" w:pos="2160"/>
        </w:tabs>
        <w:spacing w:line="360" w:lineRule="auto"/>
        <w:ind w:left="900" w:hanging="900"/>
        <w:jc w:val="both"/>
        <w:rPr>
          <w:rFonts w:ascii="Tahoma" w:hAnsi="Tahoma" w:cs="Tahoma"/>
        </w:rPr>
      </w:pPr>
    </w:p>
    <w:p w:rsidR="00264716" w:rsidRDefault="00264716" w:rsidP="00200789">
      <w:pPr>
        <w:tabs>
          <w:tab w:val="left" w:pos="900"/>
          <w:tab w:val="left" w:pos="1800"/>
          <w:tab w:val="left" w:pos="2160"/>
        </w:tabs>
        <w:spacing w:line="360" w:lineRule="auto"/>
        <w:ind w:left="900" w:hanging="900"/>
        <w:jc w:val="both"/>
        <w:rPr>
          <w:rFonts w:ascii="Tahoma" w:hAnsi="Tahoma" w:cs="Tahoma"/>
        </w:rPr>
      </w:pP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4.</w:t>
      </w:r>
      <w:r>
        <w:rPr>
          <w:rFonts w:ascii="Tahoma" w:hAnsi="Tahoma" w:cs="Tahoma"/>
        </w:rPr>
        <w:tab/>
        <w:t xml:space="preserve">Distribution cost for CESU for FY 15-16 is taken as per the estimated figure proposed in ARR for the FY 2014-15. </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5.</w:t>
      </w:r>
      <w:r>
        <w:rPr>
          <w:rFonts w:ascii="Tahoma" w:hAnsi="Tahoma" w:cs="Tahoma"/>
        </w:rPr>
        <w:tab/>
        <w:t>For surcharge calculation</w:t>
      </w:r>
      <w:r>
        <w:rPr>
          <w:rFonts w:ascii="Tahoma" w:hAnsi="Tahoma" w:cs="Tahoma"/>
          <w:b/>
          <w:bCs/>
        </w:rPr>
        <w:t xml:space="preserve"> Avoided Cost method</w:t>
      </w:r>
      <w:r>
        <w:rPr>
          <w:rFonts w:ascii="Tahoma" w:hAnsi="Tahoma" w:cs="Tahoma"/>
        </w:rPr>
        <w:t xml:space="preserve"> is adopted as per recommendations of Forum of Indian Regulators.</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6.</w:t>
      </w:r>
      <w:r>
        <w:rPr>
          <w:rFonts w:ascii="Tahoma" w:hAnsi="Tahoma" w:cs="Tahoma"/>
        </w:rPr>
        <w:tab/>
        <w:t>Bulk tariff, transmission &amp; SLDC charges are as approved for FY 2014-2015.</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7.</w:t>
      </w:r>
      <w:r>
        <w:rPr>
          <w:rFonts w:ascii="Tahoma" w:hAnsi="Tahoma" w:cs="Tahoma"/>
        </w:rPr>
        <w:tab/>
        <w:t>Approved loss level in EHT and HT for FY 2014-15.</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8.</w:t>
      </w:r>
      <w:r>
        <w:rPr>
          <w:rFonts w:ascii="Tahoma" w:hAnsi="Tahoma" w:cs="Tahoma"/>
        </w:rPr>
        <w:tab/>
        <w:t>Power factor at normative level of 90%.</w:t>
      </w:r>
    </w:p>
    <w:p w:rsidR="00264716" w:rsidRDefault="00264716" w:rsidP="00200789">
      <w:pPr>
        <w:tabs>
          <w:tab w:val="left" w:pos="900"/>
          <w:tab w:val="left" w:pos="1800"/>
          <w:tab w:val="left" w:pos="2160"/>
        </w:tabs>
        <w:spacing w:line="360" w:lineRule="auto"/>
        <w:ind w:left="900" w:hanging="900"/>
        <w:jc w:val="both"/>
        <w:rPr>
          <w:rFonts w:ascii="Tahoma" w:hAnsi="Tahoma" w:cs="Tahoma"/>
        </w:rPr>
      </w:pPr>
      <w:r>
        <w:rPr>
          <w:rFonts w:ascii="Tahoma" w:hAnsi="Tahoma" w:cs="Tahoma"/>
        </w:rPr>
        <w:t>9.</w:t>
      </w:r>
      <w:r>
        <w:rPr>
          <w:rFonts w:ascii="Tahoma" w:hAnsi="Tahoma" w:cs="Tahoma"/>
        </w:rPr>
        <w:tab/>
        <w:t>Open Access for LT customers not envisaged as load above 1 MW need to be availed in HT as per section 76 (3) of OERC (Distribution Conditions of Supply) Code 2004.</w:t>
      </w:r>
    </w:p>
    <w:p w:rsidR="00264716" w:rsidRDefault="00264716" w:rsidP="00200789">
      <w:pPr>
        <w:tabs>
          <w:tab w:val="left" w:pos="900"/>
          <w:tab w:val="left" w:pos="2160"/>
        </w:tabs>
        <w:rPr>
          <w:rFonts w:ascii="Tahoma" w:hAnsi="Tahoma" w:cs="Tahoma"/>
          <w:b/>
          <w:bCs/>
        </w:rPr>
      </w:pPr>
    </w:p>
    <w:p w:rsidR="00264716" w:rsidRDefault="00264716" w:rsidP="00200789">
      <w:pPr>
        <w:tabs>
          <w:tab w:val="left" w:pos="900"/>
          <w:tab w:val="left" w:pos="2160"/>
        </w:tabs>
        <w:rPr>
          <w:rFonts w:ascii="Tahoma" w:hAnsi="Tahoma" w:cs="Tahoma"/>
          <w:b/>
          <w:bCs/>
        </w:rPr>
      </w:pPr>
      <w:r>
        <w:rPr>
          <w:rFonts w:ascii="Tahoma" w:hAnsi="Tahoma" w:cs="Tahoma"/>
          <w:b/>
          <w:bCs/>
        </w:rPr>
        <w:t>1.</w:t>
      </w:r>
      <w:r>
        <w:rPr>
          <w:rFonts w:ascii="Tahoma" w:hAnsi="Tahoma" w:cs="Tahoma"/>
          <w:b/>
          <w:bCs/>
        </w:rPr>
        <w:tab/>
      </w:r>
      <w:r>
        <w:rPr>
          <w:rFonts w:ascii="Tahoma" w:hAnsi="Tahoma" w:cs="Tahoma"/>
          <w:b/>
          <w:bCs/>
          <w:u w:val="single"/>
        </w:rPr>
        <w:t>Wheeling charge</w:t>
      </w:r>
      <w:r>
        <w:rPr>
          <w:rFonts w:ascii="Tahoma" w:hAnsi="Tahoma" w:cs="Tahoma"/>
          <w:b/>
          <w:bCs/>
        </w:rPr>
        <w:t>:</w:t>
      </w:r>
    </w:p>
    <w:p w:rsidR="00264716" w:rsidRDefault="00264716" w:rsidP="00200789">
      <w:pPr>
        <w:tabs>
          <w:tab w:val="left" w:pos="900"/>
        </w:tabs>
        <w:spacing w:line="360" w:lineRule="auto"/>
        <w:jc w:val="both"/>
        <w:rPr>
          <w:rFonts w:ascii="Tahoma" w:hAnsi="Tahoma" w:cs="Tahoma"/>
        </w:rPr>
      </w:pPr>
      <w:r>
        <w:rPr>
          <w:rFonts w:ascii="Tahoma" w:hAnsi="Tahoma" w:cs="Tahoma"/>
        </w:rPr>
        <w:tab/>
        <w:t xml:space="preserve">The Licensee estimated following bulk power purchase and Sales to customers at different voltage level for FY 2015-16. </w:t>
      </w:r>
    </w:p>
    <w:p w:rsidR="00264716" w:rsidRDefault="00264716" w:rsidP="00D16063">
      <w:pPr>
        <w:numPr>
          <w:ilvl w:val="0"/>
          <w:numId w:val="8"/>
        </w:numPr>
        <w:tabs>
          <w:tab w:val="left" w:pos="900"/>
        </w:tabs>
        <w:spacing w:line="360" w:lineRule="auto"/>
        <w:jc w:val="both"/>
        <w:rPr>
          <w:rFonts w:ascii="Tahoma" w:hAnsi="Tahoma" w:cs="Tahoma"/>
        </w:rPr>
      </w:pPr>
      <w:r>
        <w:rPr>
          <w:rFonts w:ascii="Tahoma" w:hAnsi="Tahoma" w:cs="Tahoma"/>
        </w:rPr>
        <w:t>Bulk Power Purchase – 9451.10 Million Units.</w:t>
      </w:r>
    </w:p>
    <w:p w:rsidR="00264716" w:rsidRDefault="00264716" w:rsidP="00D16063">
      <w:pPr>
        <w:numPr>
          <w:ilvl w:val="0"/>
          <w:numId w:val="8"/>
        </w:numPr>
        <w:tabs>
          <w:tab w:val="left" w:pos="900"/>
        </w:tabs>
        <w:spacing w:line="360" w:lineRule="auto"/>
        <w:jc w:val="both"/>
        <w:rPr>
          <w:rFonts w:ascii="Tahoma" w:hAnsi="Tahoma" w:cs="Tahoma"/>
        </w:rPr>
      </w:pPr>
      <w:r>
        <w:rPr>
          <w:rFonts w:ascii="Tahoma" w:hAnsi="Tahoma" w:cs="Tahoma"/>
        </w:rPr>
        <w:t>Sale to EHT customers—1652.41 Million Units.</w:t>
      </w:r>
    </w:p>
    <w:p w:rsidR="00264716" w:rsidRDefault="00264716" w:rsidP="00D16063">
      <w:pPr>
        <w:numPr>
          <w:ilvl w:val="0"/>
          <w:numId w:val="8"/>
        </w:numPr>
        <w:tabs>
          <w:tab w:val="left" w:pos="900"/>
        </w:tabs>
        <w:spacing w:line="360" w:lineRule="auto"/>
        <w:jc w:val="both"/>
        <w:rPr>
          <w:rFonts w:ascii="Tahoma" w:hAnsi="Tahoma" w:cs="Tahoma"/>
        </w:rPr>
      </w:pPr>
      <w:r>
        <w:rPr>
          <w:rFonts w:ascii="Tahoma" w:hAnsi="Tahoma" w:cs="Tahoma"/>
        </w:rPr>
        <w:t>Sale to HT customers—1120.16 Million Units.</w:t>
      </w:r>
    </w:p>
    <w:p w:rsidR="00264716" w:rsidRPr="00D16063" w:rsidRDefault="00264716" w:rsidP="00200789">
      <w:pPr>
        <w:numPr>
          <w:ilvl w:val="0"/>
          <w:numId w:val="8"/>
        </w:numPr>
        <w:tabs>
          <w:tab w:val="left" w:pos="900"/>
        </w:tabs>
        <w:spacing w:line="360" w:lineRule="auto"/>
        <w:jc w:val="both"/>
        <w:rPr>
          <w:rFonts w:ascii="Tahoma" w:hAnsi="Tahoma" w:cs="Tahoma"/>
        </w:rPr>
      </w:pPr>
      <w:r w:rsidRPr="00D16063">
        <w:rPr>
          <w:rFonts w:ascii="Tahoma" w:hAnsi="Tahoma" w:cs="Tahoma"/>
        </w:rPr>
        <w:t>Sale</w:t>
      </w:r>
      <w:r>
        <w:rPr>
          <w:rFonts w:ascii="Tahoma" w:hAnsi="Tahoma" w:cs="Tahoma"/>
        </w:rPr>
        <w:t xml:space="preserve"> to LT customers—3670.53</w:t>
      </w:r>
      <w:r w:rsidRPr="00D16063">
        <w:rPr>
          <w:rFonts w:ascii="Tahoma" w:hAnsi="Tahoma" w:cs="Tahoma"/>
        </w:rPr>
        <w:t xml:space="preserve"> Million Units</w:t>
      </w:r>
    </w:p>
    <w:p w:rsidR="00264716" w:rsidRDefault="00264716" w:rsidP="00200789">
      <w:pPr>
        <w:tabs>
          <w:tab w:val="left" w:pos="900"/>
        </w:tabs>
        <w:spacing w:line="360" w:lineRule="auto"/>
        <w:jc w:val="both"/>
        <w:rPr>
          <w:rFonts w:ascii="Tahoma" w:hAnsi="Tahoma" w:cs="Tahoma"/>
        </w:rPr>
      </w:pPr>
      <w:r>
        <w:rPr>
          <w:rFonts w:ascii="Tahoma" w:hAnsi="Tahoma" w:cs="Tahoma"/>
        </w:rPr>
        <w:tab/>
        <w:t>Total unit to be wheeled in the distribution network of CESU is equal to 7798.69 MU i.e. total power purchase minus the EHT sales.</w:t>
      </w:r>
    </w:p>
    <w:p w:rsidR="00264716" w:rsidRDefault="00264716" w:rsidP="00200789">
      <w:pPr>
        <w:tabs>
          <w:tab w:val="left" w:pos="900"/>
        </w:tabs>
        <w:spacing w:line="360" w:lineRule="auto"/>
        <w:jc w:val="both"/>
        <w:rPr>
          <w:rFonts w:ascii="Tahoma" w:hAnsi="Tahoma" w:cs="Tahoma"/>
        </w:rPr>
      </w:pPr>
      <w:r>
        <w:rPr>
          <w:rFonts w:ascii="Tahoma" w:hAnsi="Tahoma" w:cs="Tahoma"/>
        </w:rPr>
        <w:t xml:space="preserve">Distribution cost for the Financial Year 2015-16 is tabulated below; </w:t>
      </w:r>
    </w:p>
    <w:p w:rsidR="00264716" w:rsidRDefault="00264716" w:rsidP="00200789">
      <w:pPr>
        <w:tabs>
          <w:tab w:val="left" w:pos="3360"/>
        </w:tabs>
        <w:rPr>
          <w:rFonts w:ascii="Tahoma" w:hAnsi="Tahoma" w:cs="Tahoma"/>
        </w:rPr>
      </w:pPr>
      <w:r>
        <w:rPr>
          <w:rFonts w:ascii="Tahoma" w:hAnsi="Tahoma" w:cs="Tahoma"/>
        </w:rPr>
        <w:tab/>
      </w:r>
    </w:p>
    <w:tbl>
      <w:tblPr>
        <w:tblW w:w="7580" w:type="dxa"/>
        <w:tblInd w:w="-106" w:type="dxa"/>
        <w:tblLook w:val="0000"/>
      </w:tblPr>
      <w:tblGrid>
        <w:gridCol w:w="924"/>
        <w:gridCol w:w="4307"/>
        <w:gridCol w:w="2349"/>
      </w:tblGrid>
      <w:tr w:rsidR="00264716">
        <w:trPr>
          <w:trHeight w:val="255"/>
        </w:trPr>
        <w:tc>
          <w:tcPr>
            <w:tcW w:w="924" w:type="dxa"/>
            <w:tcBorders>
              <w:top w:val="single" w:sz="4" w:space="0" w:color="auto"/>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b/>
                <w:bCs/>
              </w:rPr>
            </w:pPr>
            <w:r>
              <w:rPr>
                <w:rFonts w:ascii="Tahoma" w:hAnsi="Tahoma" w:cs="Tahoma"/>
                <w:b/>
                <w:bCs/>
              </w:rPr>
              <w:t>Sl.No.</w:t>
            </w:r>
          </w:p>
        </w:tc>
        <w:tc>
          <w:tcPr>
            <w:tcW w:w="4307" w:type="dxa"/>
            <w:tcBorders>
              <w:top w:val="single" w:sz="4" w:space="0" w:color="auto"/>
              <w:left w:val="nil"/>
              <w:bottom w:val="single" w:sz="4" w:space="0" w:color="auto"/>
              <w:right w:val="single" w:sz="4" w:space="0" w:color="auto"/>
            </w:tcBorders>
            <w:noWrap/>
            <w:vAlign w:val="bottom"/>
          </w:tcPr>
          <w:p w:rsidR="00264716" w:rsidRDefault="00264716" w:rsidP="00200789">
            <w:pPr>
              <w:jc w:val="center"/>
              <w:rPr>
                <w:rFonts w:ascii="Tahoma" w:hAnsi="Tahoma" w:cs="Tahoma"/>
                <w:b/>
                <w:bCs/>
              </w:rPr>
            </w:pPr>
            <w:r>
              <w:rPr>
                <w:rFonts w:ascii="Tahoma" w:hAnsi="Tahoma" w:cs="Tahoma"/>
                <w:b/>
                <w:bCs/>
              </w:rPr>
              <w:t>Particulars</w:t>
            </w:r>
          </w:p>
        </w:tc>
        <w:tc>
          <w:tcPr>
            <w:tcW w:w="2349" w:type="dxa"/>
            <w:tcBorders>
              <w:top w:val="single" w:sz="4" w:space="0" w:color="auto"/>
              <w:left w:val="nil"/>
              <w:bottom w:val="single" w:sz="4" w:space="0" w:color="auto"/>
              <w:right w:val="single" w:sz="4" w:space="0" w:color="auto"/>
            </w:tcBorders>
            <w:noWrap/>
            <w:vAlign w:val="bottom"/>
          </w:tcPr>
          <w:p w:rsidR="00264716" w:rsidRDefault="00264716" w:rsidP="00200789">
            <w:pPr>
              <w:jc w:val="center"/>
              <w:rPr>
                <w:rFonts w:ascii="Tahoma" w:hAnsi="Tahoma" w:cs="Tahoma"/>
                <w:b/>
                <w:bCs/>
              </w:rPr>
            </w:pPr>
            <w:r>
              <w:rPr>
                <w:rFonts w:ascii="Tahoma" w:hAnsi="Tahoma" w:cs="Tahoma"/>
                <w:b/>
                <w:bCs/>
              </w:rPr>
              <w:t>(Rs.in crores)</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1</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Employee cost</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358.14</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2</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Repair &amp; Maintenance cost</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135.47</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3</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Administrative &amp; General Expenses</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95.77</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4</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Interest &amp; Finance cost</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192.21</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5</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Bad debt provision</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21.44</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6</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Return on equity</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11.64</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7</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Depreciation</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128.35</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8</w:t>
            </w:r>
          </w:p>
        </w:tc>
        <w:tc>
          <w:tcPr>
            <w:tcW w:w="4307" w:type="dxa"/>
            <w:tcBorders>
              <w:top w:val="nil"/>
              <w:left w:val="nil"/>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Discount to Consumer</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rPr>
            </w:pPr>
            <w:r>
              <w:rPr>
                <w:rFonts w:ascii="Tahoma" w:hAnsi="Tahoma" w:cs="Tahoma"/>
              </w:rPr>
              <w:t>66.64</w:t>
            </w:r>
          </w:p>
        </w:tc>
      </w:tr>
      <w:tr w:rsidR="00264716">
        <w:trPr>
          <w:trHeight w:val="255"/>
        </w:trPr>
        <w:tc>
          <w:tcPr>
            <w:tcW w:w="924" w:type="dxa"/>
            <w:tcBorders>
              <w:top w:val="nil"/>
              <w:left w:val="single" w:sz="4" w:space="0" w:color="auto"/>
              <w:bottom w:val="single" w:sz="4" w:space="0" w:color="auto"/>
              <w:right w:val="single" w:sz="4" w:space="0" w:color="auto"/>
            </w:tcBorders>
            <w:noWrap/>
            <w:vAlign w:val="bottom"/>
          </w:tcPr>
          <w:p w:rsidR="00264716" w:rsidRDefault="00264716" w:rsidP="00200789">
            <w:pPr>
              <w:rPr>
                <w:rFonts w:ascii="Tahoma" w:hAnsi="Tahoma" w:cs="Tahoma"/>
              </w:rPr>
            </w:pPr>
            <w:r>
              <w:rPr>
                <w:rFonts w:ascii="Tahoma" w:hAnsi="Tahoma" w:cs="Tahoma"/>
              </w:rPr>
              <w:t> </w:t>
            </w:r>
          </w:p>
        </w:tc>
        <w:tc>
          <w:tcPr>
            <w:tcW w:w="4307"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b/>
                <w:bCs/>
              </w:rPr>
            </w:pPr>
            <w:r>
              <w:rPr>
                <w:rFonts w:ascii="Tahoma" w:hAnsi="Tahoma" w:cs="Tahoma"/>
                <w:b/>
                <w:bCs/>
              </w:rPr>
              <w:t>Total:</w:t>
            </w:r>
          </w:p>
        </w:tc>
        <w:tc>
          <w:tcPr>
            <w:tcW w:w="2349" w:type="dxa"/>
            <w:tcBorders>
              <w:top w:val="nil"/>
              <w:left w:val="nil"/>
              <w:bottom w:val="single" w:sz="4" w:space="0" w:color="auto"/>
              <w:right w:val="single" w:sz="4" w:space="0" w:color="auto"/>
            </w:tcBorders>
            <w:noWrap/>
            <w:vAlign w:val="bottom"/>
          </w:tcPr>
          <w:p w:rsidR="00264716" w:rsidRDefault="00264716" w:rsidP="00200789">
            <w:pPr>
              <w:jc w:val="center"/>
              <w:rPr>
                <w:rFonts w:ascii="Tahoma" w:hAnsi="Tahoma" w:cs="Tahoma"/>
                <w:b/>
                <w:bCs/>
              </w:rPr>
            </w:pPr>
            <w:r>
              <w:rPr>
                <w:rFonts w:ascii="Tahoma" w:hAnsi="Tahoma" w:cs="Tahoma"/>
                <w:b/>
                <w:bCs/>
              </w:rPr>
              <w:t>1009.66</w:t>
            </w:r>
          </w:p>
        </w:tc>
      </w:tr>
    </w:tbl>
    <w:p w:rsidR="00264716" w:rsidRDefault="00264716" w:rsidP="00200789">
      <w:pPr>
        <w:tabs>
          <w:tab w:val="left" w:pos="900"/>
          <w:tab w:val="left" w:pos="2160"/>
        </w:tabs>
        <w:rPr>
          <w:rFonts w:ascii="Tahoma" w:hAnsi="Tahoma" w:cs="Tahoma"/>
        </w:rPr>
      </w:pPr>
    </w:p>
    <w:p w:rsidR="00264716" w:rsidRDefault="00264716" w:rsidP="00200789">
      <w:pPr>
        <w:tabs>
          <w:tab w:val="left" w:pos="900"/>
          <w:tab w:val="left" w:pos="2160"/>
        </w:tabs>
        <w:rPr>
          <w:rFonts w:ascii="Tahoma" w:hAnsi="Tahoma" w:cs="Tahoma"/>
        </w:rPr>
      </w:pPr>
    </w:p>
    <w:p w:rsidR="00264716" w:rsidRDefault="00264716" w:rsidP="00200789">
      <w:pPr>
        <w:tabs>
          <w:tab w:val="left" w:pos="900"/>
          <w:tab w:val="left" w:pos="2160"/>
        </w:tabs>
        <w:rPr>
          <w:rFonts w:ascii="Tahoma" w:hAnsi="Tahoma" w:cs="Tahoma"/>
        </w:rPr>
      </w:pPr>
    </w:p>
    <w:p w:rsidR="00264716" w:rsidRDefault="00264716" w:rsidP="00200789">
      <w:pPr>
        <w:tabs>
          <w:tab w:val="left" w:pos="900"/>
          <w:tab w:val="left" w:pos="2160"/>
        </w:tabs>
        <w:rPr>
          <w:rFonts w:ascii="Tahoma" w:hAnsi="Tahoma" w:cs="Tahoma"/>
        </w:rPr>
      </w:pPr>
    </w:p>
    <w:p w:rsidR="00264716" w:rsidRDefault="00264716" w:rsidP="00200789">
      <w:pPr>
        <w:tabs>
          <w:tab w:val="left" w:pos="900"/>
          <w:tab w:val="left" w:pos="2160"/>
          <w:tab w:val="left" w:pos="4320"/>
          <w:tab w:val="left" w:pos="6300"/>
        </w:tabs>
        <w:spacing w:line="360" w:lineRule="auto"/>
        <w:jc w:val="both"/>
        <w:rPr>
          <w:rFonts w:ascii="Tahoma" w:hAnsi="Tahoma" w:cs="Tahoma"/>
        </w:rPr>
      </w:pPr>
      <w:r>
        <w:rPr>
          <w:rFonts w:ascii="Tahoma" w:hAnsi="Tahoma" w:cs="Tahoma"/>
        </w:rPr>
        <w:tab/>
      </w:r>
    </w:p>
    <w:p w:rsidR="00264716" w:rsidRDefault="00264716" w:rsidP="00200789">
      <w:pPr>
        <w:tabs>
          <w:tab w:val="left" w:pos="900"/>
          <w:tab w:val="left" w:pos="2160"/>
          <w:tab w:val="left" w:pos="4320"/>
          <w:tab w:val="left" w:pos="6300"/>
        </w:tabs>
        <w:spacing w:line="360" w:lineRule="auto"/>
        <w:jc w:val="both"/>
        <w:rPr>
          <w:rFonts w:ascii="Tahoma" w:hAnsi="Tahoma" w:cs="Tahoma"/>
        </w:rPr>
      </w:pPr>
    </w:p>
    <w:p w:rsidR="00264716" w:rsidRDefault="00264716" w:rsidP="00200789">
      <w:pPr>
        <w:tabs>
          <w:tab w:val="left" w:pos="900"/>
          <w:tab w:val="left" w:pos="2160"/>
          <w:tab w:val="left" w:pos="4320"/>
          <w:tab w:val="left" w:pos="6300"/>
        </w:tabs>
        <w:spacing w:line="360" w:lineRule="auto"/>
        <w:jc w:val="both"/>
        <w:rPr>
          <w:rFonts w:ascii="Tahoma" w:hAnsi="Tahoma" w:cs="Tahoma"/>
        </w:rPr>
      </w:pPr>
      <w:r>
        <w:rPr>
          <w:rFonts w:ascii="Tahoma" w:hAnsi="Tahoma" w:cs="Tahoma"/>
        </w:rPr>
        <w:t>For calculation of distribution cost in LT &amp; HT network 80% of total expenditure is considered. Hence wheeling charge per unit = [</w:t>
      </w:r>
      <w:r>
        <w:rPr>
          <w:rFonts w:ascii="Tahoma" w:hAnsi="Tahoma" w:cs="Tahoma"/>
          <w:b/>
          <w:bCs/>
        </w:rPr>
        <w:t xml:space="preserve">Rs.1009.66Crs X 80%] / [7798.69 MU] = 103.57 </w:t>
      </w:r>
      <w:r w:rsidRPr="00D34577">
        <w:rPr>
          <w:rFonts w:ascii="Tahoma" w:hAnsi="Tahoma" w:cs="Tahoma"/>
          <w:b/>
          <w:bCs/>
        </w:rPr>
        <w:t>paise</w:t>
      </w:r>
      <w:r>
        <w:rPr>
          <w:rFonts w:ascii="Tahoma" w:hAnsi="Tahoma" w:cs="Tahoma"/>
          <w:b/>
          <w:bCs/>
        </w:rPr>
        <w:t xml:space="preserve"> or say 104 paise</w:t>
      </w:r>
      <w:r>
        <w:rPr>
          <w:rFonts w:ascii="Tahoma" w:hAnsi="Tahoma" w:cs="Tahoma"/>
        </w:rPr>
        <w:t xml:space="preserve"> per unit.</w:t>
      </w:r>
    </w:p>
    <w:p w:rsidR="00264716" w:rsidRPr="004A17FB" w:rsidRDefault="00264716" w:rsidP="00200789">
      <w:pPr>
        <w:tabs>
          <w:tab w:val="left" w:pos="900"/>
          <w:tab w:val="left" w:pos="2160"/>
          <w:tab w:val="left" w:pos="4320"/>
          <w:tab w:val="left" w:pos="6300"/>
        </w:tabs>
        <w:spacing w:line="360" w:lineRule="auto"/>
        <w:jc w:val="both"/>
        <w:rPr>
          <w:rFonts w:ascii="Tahoma" w:hAnsi="Tahoma" w:cs="Tahoma"/>
          <w:b/>
          <w:bCs/>
        </w:rPr>
      </w:pPr>
      <w:r>
        <w:rPr>
          <w:rFonts w:ascii="Tahoma" w:hAnsi="Tahoma" w:cs="Tahoma"/>
        </w:rPr>
        <w:t xml:space="preserve">           So, CESU proposes wheeling charge of </w:t>
      </w:r>
      <w:r>
        <w:rPr>
          <w:rFonts w:ascii="Tahoma" w:hAnsi="Tahoma" w:cs="Tahoma"/>
          <w:b/>
          <w:bCs/>
        </w:rPr>
        <w:t>104</w:t>
      </w:r>
      <w:r w:rsidRPr="00B354EB">
        <w:rPr>
          <w:rFonts w:ascii="Tahoma" w:hAnsi="Tahoma" w:cs="Tahoma"/>
          <w:b/>
          <w:bCs/>
        </w:rPr>
        <w:t xml:space="preserve"> paise</w:t>
      </w:r>
      <w:r>
        <w:rPr>
          <w:rFonts w:ascii="Tahoma" w:hAnsi="Tahoma" w:cs="Tahoma"/>
        </w:rPr>
        <w:t xml:space="preserve"> per unit for Open Access </w:t>
      </w:r>
      <w:r w:rsidRPr="004A17FB">
        <w:rPr>
          <w:rFonts w:ascii="Tahoma" w:hAnsi="Tahoma" w:cs="Tahoma"/>
          <w:b/>
          <w:bCs/>
        </w:rPr>
        <w:t>HT customers for the FY 201</w:t>
      </w:r>
      <w:r>
        <w:rPr>
          <w:rFonts w:ascii="Tahoma" w:hAnsi="Tahoma" w:cs="Tahoma"/>
          <w:b/>
          <w:bCs/>
        </w:rPr>
        <w:t>5</w:t>
      </w:r>
      <w:r w:rsidRPr="004A17FB">
        <w:rPr>
          <w:rFonts w:ascii="Tahoma" w:hAnsi="Tahoma" w:cs="Tahoma"/>
          <w:b/>
          <w:bCs/>
        </w:rPr>
        <w:t>-1</w:t>
      </w:r>
      <w:r>
        <w:rPr>
          <w:rFonts w:ascii="Tahoma" w:hAnsi="Tahoma" w:cs="Tahoma"/>
          <w:b/>
          <w:bCs/>
        </w:rPr>
        <w:t>6</w:t>
      </w:r>
      <w:r w:rsidRPr="004A17FB">
        <w:rPr>
          <w:rFonts w:ascii="Tahoma" w:hAnsi="Tahoma" w:cs="Tahoma"/>
          <w:b/>
          <w:bCs/>
        </w:rPr>
        <w:t xml:space="preserve">.  </w:t>
      </w:r>
    </w:p>
    <w:p w:rsidR="00264716" w:rsidRDefault="00264716" w:rsidP="00200789">
      <w:pPr>
        <w:tabs>
          <w:tab w:val="left" w:pos="900"/>
          <w:tab w:val="left" w:pos="2160"/>
          <w:tab w:val="left" w:pos="4320"/>
          <w:tab w:val="left" w:pos="6300"/>
        </w:tabs>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p>
    <w:p w:rsidR="00264716" w:rsidRPr="004A17FB" w:rsidRDefault="00264716" w:rsidP="00200789">
      <w:pPr>
        <w:tabs>
          <w:tab w:val="left" w:pos="900"/>
          <w:tab w:val="left" w:pos="2160"/>
          <w:tab w:val="left" w:pos="4320"/>
          <w:tab w:val="left" w:pos="6300"/>
        </w:tabs>
        <w:rPr>
          <w:rFonts w:ascii="Tahoma" w:hAnsi="Tahoma" w:cs="Tahoma"/>
          <w:sz w:val="32"/>
          <w:szCs w:val="32"/>
        </w:rPr>
      </w:pPr>
      <w:r>
        <w:rPr>
          <w:rFonts w:ascii="Tahoma" w:hAnsi="Tahoma" w:cs="Tahoma"/>
        </w:rPr>
        <w:t>2.</w:t>
      </w:r>
      <w:r>
        <w:rPr>
          <w:rFonts w:ascii="Tahoma" w:hAnsi="Tahoma" w:cs="Tahoma"/>
        </w:rPr>
        <w:tab/>
      </w:r>
      <w:r w:rsidRPr="004A17FB">
        <w:rPr>
          <w:rFonts w:ascii="Tahoma" w:hAnsi="Tahoma" w:cs="Tahoma"/>
          <w:b/>
          <w:bCs/>
          <w:sz w:val="32"/>
          <w:szCs w:val="32"/>
          <w:u w:val="single"/>
        </w:rPr>
        <w:t>Cross subsidy surcharge</w:t>
      </w:r>
      <w:r w:rsidRPr="004A17FB">
        <w:rPr>
          <w:rFonts w:ascii="Tahoma" w:hAnsi="Tahoma" w:cs="Tahoma"/>
          <w:sz w:val="32"/>
          <w:szCs w:val="32"/>
          <w:u w:val="single"/>
        </w:rPr>
        <w:t>:</w:t>
      </w:r>
    </w:p>
    <w:p w:rsidR="00264716" w:rsidRDefault="00264716" w:rsidP="00200789">
      <w:pPr>
        <w:tabs>
          <w:tab w:val="left" w:pos="900"/>
          <w:tab w:val="left" w:pos="2160"/>
          <w:tab w:val="left" w:pos="4320"/>
          <w:tab w:val="left" w:pos="6300"/>
        </w:tabs>
        <w:rPr>
          <w:rFonts w:ascii="Tahoma" w:hAnsi="Tahoma" w:cs="Tahoma"/>
        </w:rPr>
      </w:pPr>
    </w:p>
    <w:p w:rsidR="00264716" w:rsidRDefault="00264716" w:rsidP="00200789">
      <w:pPr>
        <w:tabs>
          <w:tab w:val="left" w:pos="900"/>
          <w:tab w:val="left" w:pos="2160"/>
          <w:tab w:val="left" w:pos="4320"/>
          <w:tab w:val="left" w:pos="6300"/>
        </w:tabs>
        <w:rPr>
          <w:rFonts w:ascii="Tahoma" w:hAnsi="Tahoma" w:cs="Tahoma"/>
          <w:b/>
          <w:bCs/>
          <w:u w:val="single"/>
        </w:rPr>
      </w:pPr>
      <w:r>
        <w:rPr>
          <w:rFonts w:ascii="Tahoma" w:hAnsi="Tahoma" w:cs="Tahoma"/>
          <w:b/>
          <w:bCs/>
          <w:u w:val="single"/>
        </w:rPr>
        <w:t>For HT Open Access consumers:</w:t>
      </w:r>
    </w:p>
    <w:p w:rsidR="00264716" w:rsidRDefault="00264716" w:rsidP="00200789">
      <w:pPr>
        <w:tabs>
          <w:tab w:val="left" w:pos="2560"/>
        </w:tabs>
        <w:jc w:val="both"/>
        <w:rPr>
          <w:rFonts w:ascii="Tahoma" w:hAnsi="Tahoma" w:cs="Tahoma"/>
        </w:rPr>
      </w:pPr>
      <w:r>
        <w:rPr>
          <w:rFonts w:ascii="Tahoma" w:hAnsi="Tahoma" w:cs="Tahoma"/>
        </w:rPr>
        <w:tab/>
      </w:r>
    </w:p>
    <w:p w:rsidR="00264716" w:rsidRDefault="00264716" w:rsidP="00200789">
      <w:pPr>
        <w:tabs>
          <w:tab w:val="left" w:pos="2160"/>
          <w:tab w:val="left" w:pos="4320"/>
          <w:tab w:val="left" w:pos="6300"/>
        </w:tabs>
        <w:spacing w:line="360" w:lineRule="auto"/>
        <w:jc w:val="both"/>
        <w:rPr>
          <w:rFonts w:ascii="Tahoma" w:hAnsi="Tahoma" w:cs="Tahoma"/>
        </w:rPr>
      </w:pPr>
      <w:r>
        <w:rPr>
          <w:rFonts w:ascii="Tahoma" w:hAnsi="Tahoma" w:cs="Tahoma"/>
        </w:rPr>
        <w:t>The basic principle of surcharge to be levied on open access customers is to compensate the incumbent utility for the revenue loss due to migration of the existing customer to another utility/CGP/IPP or any other party.</w:t>
      </w:r>
    </w:p>
    <w:p w:rsidR="00264716" w:rsidRDefault="00264716" w:rsidP="00200789">
      <w:pPr>
        <w:tabs>
          <w:tab w:val="left" w:pos="0"/>
          <w:tab w:val="left" w:pos="2160"/>
          <w:tab w:val="left" w:pos="4320"/>
          <w:tab w:val="left" w:pos="6300"/>
        </w:tabs>
        <w:spacing w:line="360" w:lineRule="auto"/>
        <w:jc w:val="both"/>
        <w:rPr>
          <w:rFonts w:ascii="Tahoma" w:hAnsi="Tahoma" w:cs="Tahoma"/>
        </w:rPr>
      </w:pPr>
      <w:r>
        <w:rPr>
          <w:rFonts w:ascii="Tahoma" w:hAnsi="Tahoma" w:cs="Tahoma"/>
        </w:rPr>
        <w:t>From HT consumer revenue earning per unit to CESU is equivalent to differential of rate of sale per unit and sum of BST price, transmission &amp; SLDC charge appropriated with distribution loss in HT.</w:t>
      </w:r>
    </w:p>
    <w:p w:rsidR="00264716" w:rsidRDefault="00264716" w:rsidP="00200789">
      <w:pPr>
        <w:tabs>
          <w:tab w:val="left" w:pos="900"/>
          <w:tab w:val="left" w:pos="2160"/>
          <w:tab w:val="left" w:pos="4320"/>
          <w:tab w:val="left" w:pos="6300"/>
        </w:tabs>
        <w:spacing w:line="360" w:lineRule="auto"/>
        <w:jc w:val="both"/>
        <w:rPr>
          <w:rFonts w:ascii="Tahoma" w:hAnsi="Tahoma" w:cs="Tahoma"/>
        </w:rPr>
      </w:pPr>
      <w:r>
        <w:rPr>
          <w:rFonts w:ascii="Tahoma" w:hAnsi="Tahoma" w:cs="Tahoma"/>
        </w:rPr>
        <w:t xml:space="preserve">            Distribution loss in HT network is proposed to be 8% for the FY 2015-16 and transmission loss at 3.75% as approved in the transmission tariff order for the FY.2014-15.  </w:t>
      </w:r>
    </w:p>
    <w:p w:rsidR="00264716" w:rsidRDefault="00264716" w:rsidP="00200789">
      <w:pPr>
        <w:tabs>
          <w:tab w:val="left" w:pos="0"/>
          <w:tab w:val="left" w:pos="900"/>
          <w:tab w:val="left" w:pos="2160"/>
          <w:tab w:val="left" w:pos="4320"/>
          <w:tab w:val="left" w:pos="6300"/>
        </w:tabs>
        <w:spacing w:line="360" w:lineRule="auto"/>
        <w:jc w:val="both"/>
        <w:rPr>
          <w:rFonts w:ascii="Tahoma" w:hAnsi="Tahoma" w:cs="Tahoma"/>
        </w:rPr>
      </w:pPr>
      <w:r>
        <w:rPr>
          <w:rFonts w:ascii="Tahoma" w:hAnsi="Tahoma" w:cs="Tahoma"/>
        </w:rPr>
        <w:tab/>
        <w:t>Revenue earning is computed at 100% load factor only as open access consumers are allowed to avail open access power round the clock and which is shown in the following table.</w:t>
      </w:r>
    </w:p>
    <w:tbl>
      <w:tblPr>
        <w:tblpPr w:leftFromText="180" w:rightFromText="180" w:vertAnchor="text" w:horzAnchor="margin" w:tblpY="57"/>
        <w:tblW w:w="8856" w:type="dxa"/>
        <w:tblLook w:val="0000"/>
      </w:tblPr>
      <w:tblGrid>
        <w:gridCol w:w="994"/>
        <w:gridCol w:w="1339"/>
        <w:gridCol w:w="1816"/>
        <w:gridCol w:w="1869"/>
        <w:gridCol w:w="2036"/>
        <w:gridCol w:w="1024"/>
      </w:tblGrid>
      <w:tr w:rsidR="00264716">
        <w:trPr>
          <w:trHeight w:val="1080"/>
        </w:trPr>
        <w:tc>
          <w:tcPr>
            <w:tcW w:w="772" w:type="dxa"/>
            <w:tcBorders>
              <w:top w:val="single" w:sz="4" w:space="0" w:color="auto"/>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33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Demand Charge (Rs./ KVA)</w:t>
            </w:r>
          </w:p>
        </w:tc>
        <w:tc>
          <w:tcPr>
            <w:tcW w:w="1816"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Normal Energy charges.  &lt;=60%   (P/KWH)</w:t>
            </w:r>
          </w:p>
        </w:tc>
        <w:tc>
          <w:tcPr>
            <w:tcW w:w="186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Normal Energy charges.  &gt;60%  (P/KWH)</w:t>
            </w:r>
          </w:p>
        </w:tc>
        <w:tc>
          <w:tcPr>
            <w:tcW w:w="2036" w:type="dxa"/>
            <w:tcBorders>
              <w:top w:val="single" w:sz="4" w:space="0" w:color="auto"/>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Power factor</w:t>
            </w:r>
          </w:p>
        </w:tc>
        <w:tc>
          <w:tcPr>
            <w:tcW w:w="1024" w:type="dxa"/>
            <w:tcBorders>
              <w:top w:val="single" w:sz="4" w:space="0" w:color="auto"/>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r>
      <w:tr w:rsidR="00264716">
        <w:trPr>
          <w:trHeight w:val="555"/>
        </w:trPr>
        <w:tc>
          <w:tcPr>
            <w:tcW w:w="772" w:type="dxa"/>
            <w:tcBorders>
              <w:top w:val="nil"/>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Existing Tariff Rate </w:t>
            </w:r>
          </w:p>
        </w:tc>
        <w:tc>
          <w:tcPr>
            <w:tcW w:w="133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250</w:t>
            </w:r>
          </w:p>
        </w:tc>
        <w:tc>
          <w:tcPr>
            <w:tcW w:w="1816"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505</w:t>
            </w:r>
          </w:p>
        </w:tc>
        <w:tc>
          <w:tcPr>
            <w:tcW w:w="186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400</w:t>
            </w:r>
          </w:p>
        </w:tc>
        <w:tc>
          <w:tcPr>
            <w:tcW w:w="2036"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0.9</w:t>
            </w:r>
          </w:p>
        </w:tc>
        <w:tc>
          <w:tcPr>
            <w:tcW w:w="1024"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r>
      <w:tr w:rsidR="00264716">
        <w:trPr>
          <w:trHeight w:val="1020"/>
        </w:trPr>
        <w:tc>
          <w:tcPr>
            <w:tcW w:w="772"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CD</w:t>
            </w:r>
          </w:p>
          <w:p w:rsidR="00264716" w:rsidRDefault="00264716" w:rsidP="00200789">
            <w:pPr>
              <w:jc w:val="center"/>
              <w:rPr>
                <w:rFonts w:ascii="Arial" w:hAnsi="Arial" w:cs="Arial"/>
                <w:b/>
                <w:bCs/>
                <w:sz w:val="20"/>
                <w:szCs w:val="20"/>
              </w:rPr>
            </w:pPr>
            <w:r>
              <w:rPr>
                <w:rFonts w:ascii="Arial" w:hAnsi="Arial" w:cs="Arial"/>
                <w:b/>
                <w:bCs/>
                <w:sz w:val="20"/>
                <w:szCs w:val="20"/>
              </w:rPr>
              <w:t>(KVA)</w:t>
            </w:r>
          </w:p>
        </w:tc>
        <w:tc>
          <w:tcPr>
            <w:tcW w:w="1339"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rPr>
                <w:rFonts w:ascii="Arial" w:hAnsi="Arial" w:cs="Arial"/>
                <w:b/>
                <w:bCs/>
                <w:sz w:val="20"/>
                <w:szCs w:val="20"/>
              </w:rPr>
            </w:pPr>
            <w:r>
              <w:rPr>
                <w:rFonts w:ascii="Arial" w:hAnsi="Arial" w:cs="Arial"/>
                <w:b/>
                <w:bCs/>
                <w:sz w:val="20"/>
                <w:szCs w:val="20"/>
              </w:rPr>
              <w:t xml:space="preserve"> Incremental</w:t>
            </w:r>
          </w:p>
          <w:p w:rsidR="00264716" w:rsidRDefault="00264716" w:rsidP="00200789">
            <w:pPr>
              <w:rPr>
                <w:rFonts w:ascii="Arial" w:hAnsi="Arial" w:cs="Arial"/>
                <w:b/>
                <w:bCs/>
                <w:sz w:val="20"/>
                <w:szCs w:val="20"/>
              </w:rPr>
            </w:pPr>
            <w:r>
              <w:rPr>
                <w:rFonts w:ascii="Arial" w:hAnsi="Arial" w:cs="Arial"/>
                <w:b/>
                <w:bCs/>
                <w:sz w:val="20"/>
                <w:szCs w:val="20"/>
              </w:rPr>
              <w:t>L.F (%)</w:t>
            </w:r>
          </w:p>
        </w:tc>
        <w:tc>
          <w:tcPr>
            <w:tcW w:w="1816"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Max units per month</w:t>
            </w:r>
          </w:p>
        </w:tc>
        <w:tc>
          <w:tcPr>
            <w:tcW w:w="1869"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Avg. energy charge rate</w:t>
            </w:r>
          </w:p>
        </w:tc>
        <w:tc>
          <w:tcPr>
            <w:tcW w:w="2036"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Demand charge component</w:t>
            </w:r>
          </w:p>
        </w:tc>
        <w:tc>
          <w:tcPr>
            <w:tcW w:w="1024"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Total rate</w:t>
            </w:r>
          </w:p>
        </w:tc>
      </w:tr>
      <w:tr w:rsidR="00264716">
        <w:trPr>
          <w:trHeight w:val="345"/>
        </w:trPr>
        <w:tc>
          <w:tcPr>
            <w:tcW w:w="772" w:type="dxa"/>
            <w:tcBorders>
              <w:top w:val="single" w:sz="4" w:space="0" w:color="auto"/>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33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816"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Units (KWH) </w:t>
            </w:r>
          </w:p>
        </w:tc>
        <w:tc>
          <w:tcPr>
            <w:tcW w:w="186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 </w:t>
            </w:r>
          </w:p>
        </w:tc>
        <w:tc>
          <w:tcPr>
            <w:tcW w:w="2036"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w:t>
            </w:r>
          </w:p>
        </w:tc>
        <w:tc>
          <w:tcPr>
            <w:tcW w:w="1024"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w:t>
            </w:r>
          </w:p>
        </w:tc>
      </w:tr>
      <w:tr w:rsidR="00264716">
        <w:trPr>
          <w:trHeight w:val="15"/>
        </w:trPr>
        <w:tc>
          <w:tcPr>
            <w:tcW w:w="772" w:type="dxa"/>
            <w:tcBorders>
              <w:top w:val="nil"/>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339"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816"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869"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2036"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024"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r>
      <w:tr w:rsidR="00264716">
        <w:trPr>
          <w:trHeight w:val="255"/>
        </w:trPr>
        <w:tc>
          <w:tcPr>
            <w:tcW w:w="772" w:type="dxa"/>
            <w:tcBorders>
              <w:top w:val="nil"/>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1</w:t>
            </w:r>
          </w:p>
        </w:tc>
        <w:tc>
          <w:tcPr>
            <w:tcW w:w="133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100</w:t>
            </w:r>
          </w:p>
        </w:tc>
        <w:tc>
          <w:tcPr>
            <w:tcW w:w="1816"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657</w:t>
            </w:r>
          </w:p>
        </w:tc>
        <w:tc>
          <w:tcPr>
            <w:tcW w:w="186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463.00</w:t>
            </w:r>
          </w:p>
        </w:tc>
        <w:tc>
          <w:tcPr>
            <w:tcW w:w="2036"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38.05</w:t>
            </w:r>
          </w:p>
        </w:tc>
        <w:tc>
          <w:tcPr>
            <w:tcW w:w="1024"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501.05</w:t>
            </w:r>
          </w:p>
        </w:tc>
      </w:tr>
    </w:tbl>
    <w:p w:rsidR="00264716" w:rsidRDefault="00264716" w:rsidP="00200789">
      <w:pPr>
        <w:tabs>
          <w:tab w:val="left" w:pos="900"/>
          <w:tab w:val="left" w:pos="2160"/>
          <w:tab w:val="left" w:pos="4320"/>
          <w:tab w:val="left" w:pos="6300"/>
        </w:tabs>
        <w:ind w:left="900"/>
        <w:jc w:val="center"/>
        <w:rPr>
          <w:rFonts w:ascii="Tahoma" w:hAnsi="Tahoma" w:cs="Tahoma"/>
          <w:b/>
          <w:bCs/>
        </w:rPr>
      </w:pPr>
    </w:p>
    <w:p w:rsidR="00264716" w:rsidRDefault="00264716" w:rsidP="00200789">
      <w:pPr>
        <w:jc w:val="both"/>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p>
    <w:p w:rsidR="00264716" w:rsidRDefault="00264716" w:rsidP="001E6490">
      <w:pPr>
        <w:pStyle w:val="BodyTextIndent"/>
        <w:ind w:left="0"/>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p>
    <w:p w:rsidR="00264716" w:rsidRDefault="00264716" w:rsidP="00200789">
      <w:pPr>
        <w:pStyle w:val="BodyTextIndent"/>
      </w:pPr>
      <w:r>
        <w:t>Surcharge (S) applicable for HT category of consumers is calculated as per following formula in compliance to Section (2) ‘Surcharge” of OERC (Determination of Open Access Charges) Regulations 2006:</w:t>
      </w:r>
    </w:p>
    <w:p w:rsidR="00264716" w:rsidRDefault="00264716" w:rsidP="00200789">
      <w:pPr>
        <w:ind w:left="720"/>
        <w:jc w:val="both"/>
        <w:rPr>
          <w:rFonts w:ascii="Tahoma" w:hAnsi="Tahoma" w:cs="Tahoma"/>
        </w:rPr>
      </w:pPr>
    </w:p>
    <w:p w:rsidR="00264716" w:rsidRDefault="00264716" w:rsidP="00200789">
      <w:pPr>
        <w:ind w:left="720" w:firstLine="720"/>
        <w:jc w:val="both"/>
        <w:rPr>
          <w:rFonts w:ascii="Tahoma" w:hAnsi="Tahoma" w:cs="Tahoma"/>
        </w:rPr>
      </w:pPr>
      <w:r>
        <w:rPr>
          <w:rFonts w:ascii="Tahoma" w:hAnsi="Tahoma" w:cs="Tahoma"/>
        </w:rPr>
        <w:t xml:space="preserve">S = T - </w:t>
      </w:r>
      <w:r>
        <w:rPr>
          <w:rFonts w:ascii="Tahoma" w:hAnsi="Tahoma" w:cs="Tahoma"/>
        </w:rPr>
        <w:sym w:font="Symbol" w:char="F05B"/>
      </w:r>
      <w:r>
        <w:rPr>
          <w:rFonts w:ascii="Tahoma" w:hAnsi="Tahoma" w:cs="Tahoma"/>
        </w:rPr>
        <w:t xml:space="preserve"> C (1+L/100) +D+E </w:t>
      </w:r>
      <w:r>
        <w:rPr>
          <w:rFonts w:ascii="Tahoma" w:hAnsi="Tahoma" w:cs="Tahoma"/>
        </w:rPr>
        <w:sym w:font="Symbol" w:char="F05D"/>
      </w:r>
    </w:p>
    <w:p w:rsidR="00264716" w:rsidRDefault="00264716" w:rsidP="00200789">
      <w:pPr>
        <w:jc w:val="both"/>
        <w:rPr>
          <w:rFonts w:ascii="Tahoma" w:hAnsi="Tahoma" w:cs="Tahoma"/>
        </w:rPr>
      </w:pPr>
      <w:r>
        <w:rPr>
          <w:rFonts w:ascii="Tahoma" w:hAnsi="Tahoma" w:cs="Tahoma"/>
        </w:rPr>
        <w:tab/>
      </w:r>
    </w:p>
    <w:p w:rsidR="00264716" w:rsidRDefault="00264716" w:rsidP="00200789">
      <w:pPr>
        <w:ind w:firstLine="720"/>
        <w:jc w:val="both"/>
        <w:rPr>
          <w:rFonts w:ascii="Tahoma" w:hAnsi="Tahoma" w:cs="Tahoma"/>
        </w:rPr>
      </w:pPr>
      <w:r>
        <w:rPr>
          <w:rFonts w:ascii="Tahoma" w:hAnsi="Tahoma" w:cs="Tahoma"/>
        </w:rPr>
        <w:t>Where T – Sale rate/unit to the consumer (501p)</w:t>
      </w:r>
    </w:p>
    <w:p w:rsidR="00264716" w:rsidRDefault="00264716" w:rsidP="00200789">
      <w:pPr>
        <w:ind w:firstLine="720"/>
        <w:jc w:val="both"/>
        <w:rPr>
          <w:rFonts w:ascii="Tahoma" w:hAnsi="Tahoma" w:cs="Tahoma"/>
        </w:rPr>
      </w:pPr>
    </w:p>
    <w:p w:rsidR="00264716" w:rsidRDefault="00264716" w:rsidP="00200789">
      <w:pPr>
        <w:ind w:firstLine="720"/>
        <w:jc w:val="both"/>
        <w:rPr>
          <w:rFonts w:ascii="Tahoma" w:hAnsi="Tahoma" w:cs="Tahoma"/>
        </w:rPr>
      </w:pPr>
      <w:r>
        <w:rPr>
          <w:rFonts w:ascii="Tahoma" w:hAnsi="Tahoma" w:cs="Tahoma"/>
        </w:rPr>
        <w:t xml:space="preserve">          C – Bulk Supply Purchase rate/unit (265p)</w:t>
      </w:r>
    </w:p>
    <w:p w:rsidR="00264716" w:rsidRDefault="00264716" w:rsidP="00200789">
      <w:pPr>
        <w:ind w:firstLine="720"/>
        <w:jc w:val="both"/>
        <w:rPr>
          <w:rFonts w:ascii="Tahoma" w:hAnsi="Tahoma" w:cs="Tahoma"/>
        </w:rPr>
      </w:pPr>
    </w:p>
    <w:p w:rsidR="00264716" w:rsidRDefault="00264716" w:rsidP="00200789">
      <w:pPr>
        <w:ind w:firstLine="720"/>
        <w:jc w:val="both"/>
        <w:rPr>
          <w:rFonts w:ascii="Tahoma" w:hAnsi="Tahoma" w:cs="Tahoma"/>
        </w:rPr>
      </w:pPr>
      <w:r>
        <w:rPr>
          <w:rFonts w:ascii="Tahoma" w:hAnsi="Tahoma" w:cs="Tahoma"/>
        </w:rPr>
        <w:t xml:space="preserve">           L – Approved HT Distribution loss in percentage (8%)</w:t>
      </w:r>
    </w:p>
    <w:p w:rsidR="00264716" w:rsidRDefault="00264716" w:rsidP="00200789">
      <w:pPr>
        <w:jc w:val="both"/>
        <w:rPr>
          <w:rFonts w:ascii="Tahoma" w:hAnsi="Tahoma" w:cs="Tahoma"/>
        </w:rPr>
      </w:pPr>
    </w:p>
    <w:p w:rsidR="00264716" w:rsidRDefault="00264716" w:rsidP="00200789">
      <w:pPr>
        <w:ind w:firstLine="720"/>
        <w:jc w:val="both"/>
        <w:rPr>
          <w:rFonts w:ascii="Tahoma" w:hAnsi="Tahoma" w:cs="Tahoma"/>
        </w:rPr>
      </w:pPr>
      <w:r>
        <w:rPr>
          <w:rFonts w:ascii="Tahoma" w:hAnsi="Tahoma" w:cs="Tahoma"/>
        </w:rPr>
        <w:t xml:space="preserve">           D – Transmission charge/unit (25p)</w:t>
      </w:r>
    </w:p>
    <w:p w:rsidR="00264716" w:rsidRDefault="00264716" w:rsidP="00200789">
      <w:pPr>
        <w:ind w:firstLine="720"/>
        <w:jc w:val="both"/>
        <w:rPr>
          <w:rFonts w:ascii="Tahoma" w:hAnsi="Tahoma" w:cs="Tahoma"/>
        </w:rPr>
      </w:pPr>
    </w:p>
    <w:p w:rsidR="00264716" w:rsidRDefault="00264716" w:rsidP="00200789">
      <w:pPr>
        <w:ind w:firstLine="720"/>
        <w:jc w:val="both"/>
        <w:rPr>
          <w:rFonts w:ascii="Tahoma" w:hAnsi="Tahoma" w:cs="Tahoma"/>
        </w:rPr>
      </w:pPr>
      <w:r>
        <w:rPr>
          <w:rFonts w:ascii="Tahoma" w:hAnsi="Tahoma" w:cs="Tahoma"/>
        </w:rPr>
        <w:tab/>
        <w:t xml:space="preserve">  E- SLDC Charges/ unit (0.16 p)</w:t>
      </w:r>
    </w:p>
    <w:p w:rsidR="00264716" w:rsidRDefault="00264716" w:rsidP="00200789">
      <w:pPr>
        <w:jc w:val="both"/>
        <w:rPr>
          <w:rFonts w:ascii="Tahoma" w:hAnsi="Tahoma" w:cs="Tahoma"/>
        </w:rPr>
      </w:pPr>
    </w:p>
    <w:p w:rsidR="00264716" w:rsidRPr="000E56FB" w:rsidRDefault="00264716" w:rsidP="00200789">
      <w:pPr>
        <w:pStyle w:val="BodyTextIndent"/>
        <w:rPr>
          <w:b/>
          <w:bCs/>
        </w:rPr>
      </w:pPr>
      <w:r>
        <w:t xml:space="preserve">Applying the above formula </w:t>
      </w:r>
      <w:r w:rsidRPr="000E56FB">
        <w:rPr>
          <w:b/>
          <w:bCs/>
        </w:rPr>
        <w:t xml:space="preserve">rate of </w:t>
      </w:r>
      <w:r>
        <w:rPr>
          <w:b/>
          <w:bCs/>
        </w:rPr>
        <w:t xml:space="preserve">cross subsidy </w:t>
      </w:r>
      <w:r w:rsidRPr="000E56FB">
        <w:rPr>
          <w:b/>
          <w:bCs/>
        </w:rPr>
        <w:t xml:space="preserve">surcharge is calculated as </w:t>
      </w:r>
      <w:r>
        <w:rPr>
          <w:b/>
          <w:bCs/>
        </w:rPr>
        <w:t>190</w:t>
      </w:r>
      <w:r w:rsidRPr="000E56FB">
        <w:rPr>
          <w:b/>
          <w:bCs/>
        </w:rPr>
        <w:t>Paisa/ unit.</w:t>
      </w:r>
    </w:p>
    <w:p w:rsidR="00264716" w:rsidRDefault="00264716" w:rsidP="00200789">
      <w:pPr>
        <w:jc w:val="both"/>
        <w:rPr>
          <w:rFonts w:ascii="Tahoma" w:hAnsi="Tahoma" w:cs="Tahoma"/>
        </w:rPr>
      </w:pPr>
      <w:r>
        <w:rPr>
          <w:rFonts w:ascii="Tahoma" w:hAnsi="Tahoma" w:cs="Tahoma"/>
        </w:rPr>
        <w:tab/>
        <w:t>The above rate is applicable to following category of consumers.</w:t>
      </w:r>
    </w:p>
    <w:p w:rsidR="00264716" w:rsidRDefault="00264716" w:rsidP="00200789">
      <w:pPr>
        <w:tabs>
          <w:tab w:val="left" w:pos="0"/>
          <w:tab w:val="left" w:pos="2160"/>
          <w:tab w:val="left" w:pos="4320"/>
          <w:tab w:val="left" w:pos="6300"/>
        </w:tabs>
        <w:spacing w:line="360" w:lineRule="auto"/>
        <w:jc w:val="both"/>
        <w:rPr>
          <w:rFonts w:ascii="Tahoma" w:hAnsi="Tahoma" w:cs="Tahoma"/>
        </w:rPr>
      </w:pP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General Purpose &gt;70KVA</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Specified Public Purpose</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Public Water Works sewerage pumping</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Large Industry</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Power Intensive Industry</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Mini Steel Plant</w:t>
      </w:r>
    </w:p>
    <w:p w:rsidR="00264716" w:rsidRDefault="00264716" w:rsidP="00200789">
      <w:pPr>
        <w:numPr>
          <w:ilvl w:val="0"/>
          <w:numId w:val="1"/>
        </w:numPr>
        <w:tabs>
          <w:tab w:val="left" w:pos="900"/>
          <w:tab w:val="left" w:pos="2160"/>
          <w:tab w:val="left" w:pos="4320"/>
          <w:tab w:val="left" w:pos="6300"/>
        </w:tabs>
        <w:spacing w:line="360" w:lineRule="auto"/>
        <w:jc w:val="both"/>
        <w:rPr>
          <w:rFonts w:ascii="Tahoma" w:hAnsi="Tahoma" w:cs="Tahoma"/>
        </w:rPr>
      </w:pPr>
      <w:r>
        <w:rPr>
          <w:rFonts w:ascii="Tahoma" w:hAnsi="Tahoma" w:cs="Tahoma"/>
        </w:rPr>
        <w:t>Railway Traction</w:t>
      </w:r>
    </w:p>
    <w:p w:rsidR="00264716" w:rsidRDefault="00264716" w:rsidP="00200789">
      <w:pPr>
        <w:tabs>
          <w:tab w:val="left" w:pos="900"/>
          <w:tab w:val="left" w:pos="2160"/>
          <w:tab w:val="left" w:pos="4320"/>
          <w:tab w:val="left" w:pos="6300"/>
        </w:tabs>
        <w:spacing w:line="360" w:lineRule="auto"/>
        <w:jc w:val="both"/>
        <w:rPr>
          <w:rFonts w:ascii="Tahoma" w:hAnsi="Tahoma" w:cs="Tahoma"/>
        </w:rPr>
      </w:pPr>
      <w:r>
        <w:rPr>
          <w:rFonts w:ascii="Tahoma" w:hAnsi="Tahoma" w:cs="Tahoma"/>
        </w:rPr>
        <w:t xml:space="preserve">        Further, for Emergency Supply to CGP/ IPP category of consumers the surcharge is calculated </w:t>
      </w:r>
      <w:r>
        <w:rPr>
          <w:rFonts w:ascii="Tahoma" w:hAnsi="Tahoma" w:cs="Tahoma"/>
          <w:b/>
          <w:bCs/>
        </w:rPr>
        <w:t>to 389</w:t>
      </w:r>
      <w:r w:rsidRPr="000522DB">
        <w:rPr>
          <w:rFonts w:ascii="Tahoma" w:hAnsi="Tahoma" w:cs="Tahoma"/>
          <w:b/>
          <w:bCs/>
        </w:rPr>
        <w:t xml:space="preserve">p/unit </w:t>
      </w:r>
      <w:r>
        <w:rPr>
          <w:rFonts w:ascii="Tahoma" w:hAnsi="Tahoma" w:cs="Tahoma"/>
        </w:rPr>
        <w:t>for HT consumers based on the similar principle.</w:t>
      </w:r>
    </w:p>
    <w:p w:rsidR="00264716" w:rsidRDefault="00264716" w:rsidP="00200789">
      <w:pPr>
        <w:pStyle w:val="BodyTextIndent"/>
        <w:tabs>
          <w:tab w:val="left" w:pos="900"/>
        </w:tabs>
        <w:ind w:left="0"/>
      </w:pPr>
      <w:r>
        <w:t xml:space="preserve">       For irrigation, Allied agriculture activities and Allied Agro Industrial activities categories, open access surcharges are not envisaged since, the RST rates are highly subsidized and Open Access is not a viable proposal.</w:t>
      </w: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pStyle w:val="BodyTextIndent"/>
        <w:tabs>
          <w:tab w:val="left" w:pos="900"/>
        </w:tabs>
        <w:ind w:left="0"/>
      </w:pPr>
    </w:p>
    <w:p w:rsidR="00264716" w:rsidRDefault="00264716" w:rsidP="00200789">
      <w:pPr>
        <w:tabs>
          <w:tab w:val="left" w:pos="900"/>
        </w:tabs>
        <w:spacing w:line="360" w:lineRule="auto"/>
        <w:jc w:val="both"/>
        <w:rPr>
          <w:rFonts w:ascii="Tahoma" w:hAnsi="Tahoma" w:cs="Tahoma"/>
        </w:rPr>
      </w:pPr>
      <w:r>
        <w:rPr>
          <w:rFonts w:ascii="Tahoma" w:hAnsi="Tahoma" w:cs="Tahoma"/>
        </w:rPr>
        <w:t xml:space="preserve"> </w:t>
      </w:r>
      <w:r>
        <w:rPr>
          <w:rFonts w:ascii="Tahoma" w:hAnsi="Tahoma" w:cs="Tahoma"/>
        </w:rPr>
        <w:tab/>
      </w:r>
    </w:p>
    <w:p w:rsidR="00264716" w:rsidRDefault="00264716" w:rsidP="00200789">
      <w:pPr>
        <w:rPr>
          <w:rFonts w:ascii="Tahoma" w:hAnsi="Tahoma" w:cs="Tahoma"/>
          <w:b/>
          <w:bCs/>
          <w:u w:val="single"/>
        </w:rPr>
      </w:pPr>
      <w:r>
        <w:rPr>
          <w:rFonts w:ascii="Tahoma" w:hAnsi="Tahoma" w:cs="Tahoma"/>
          <w:b/>
          <w:bCs/>
          <w:u w:val="single"/>
        </w:rPr>
        <w:t>For EHT Open Access Consumers:</w:t>
      </w:r>
    </w:p>
    <w:p w:rsidR="00264716" w:rsidRDefault="00264716" w:rsidP="00200789">
      <w:pPr>
        <w:rPr>
          <w:rFonts w:ascii="Tahoma" w:hAnsi="Tahoma" w:cs="Tahoma"/>
          <w:b/>
          <w:bCs/>
          <w:u w:val="single"/>
        </w:rPr>
      </w:pPr>
    </w:p>
    <w:p w:rsidR="00264716" w:rsidRDefault="00264716" w:rsidP="00200789">
      <w:pPr>
        <w:spacing w:line="360" w:lineRule="auto"/>
        <w:rPr>
          <w:rFonts w:ascii="Tahoma" w:hAnsi="Tahoma" w:cs="Tahoma"/>
        </w:rPr>
      </w:pPr>
      <w:r>
        <w:rPr>
          <w:rFonts w:ascii="Tahoma" w:hAnsi="Tahoma" w:cs="Tahoma"/>
        </w:rPr>
        <w:t xml:space="preserve">Surcharge is applicable to the following category of consumers; </w:t>
      </w:r>
    </w:p>
    <w:p w:rsidR="00264716" w:rsidRDefault="00264716" w:rsidP="00200789">
      <w:pPr>
        <w:numPr>
          <w:ilvl w:val="0"/>
          <w:numId w:val="2"/>
        </w:numPr>
        <w:rPr>
          <w:rFonts w:ascii="Tahoma" w:hAnsi="Tahoma" w:cs="Tahoma"/>
        </w:rPr>
      </w:pPr>
      <w:r>
        <w:rPr>
          <w:rFonts w:ascii="Tahoma" w:hAnsi="Tahoma" w:cs="Tahoma"/>
        </w:rPr>
        <w:t>General Purpose.</w:t>
      </w:r>
    </w:p>
    <w:p w:rsidR="00264716" w:rsidRDefault="00264716" w:rsidP="00200789">
      <w:pPr>
        <w:numPr>
          <w:ilvl w:val="0"/>
          <w:numId w:val="2"/>
        </w:numPr>
        <w:rPr>
          <w:rFonts w:ascii="Tahoma" w:hAnsi="Tahoma" w:cs="Tahoma"/>
        </w:rPr>
      </w:pPr>
      <w:r>
        <w:rPr>
          <w:rFonts w:ascii="Tahoma" w:hAnsi="Tahoma" w:cs="Tahoma"/>
        </w:rPr>
        <w:t>Large Industry.</w:t>
      </w:r>
    </w:p>
    <w:p w:rsidR="00264716" w:rsidRDefault="00264716" w:rsidP="00200789">
      <w:pPr>
        <w:numPr>
          <w:ilvl w:val="0"/>
          <w:numId w:val="2"/>
        </w:numPr>
        <w:rPr>
          <w:rFonts w:ascii="Tahoma" w:hAnsi="Tahoma" w:cs="Tahoma"/>
        </w:rPr>
      </w:pPr>
      <w:r>
        <w:rPr>
          <w:rFonts w:ascii="Tahoma" w:hAnsi="Tahoma" w:cs="Tahoma"/>
        </w:rPr>
        <w:t>Railway traction.</w:t>
      </w:r>
    </w:p>
    <w:p w:rsidR="00264716" w:rsidRDefault="00264716" w:rsidP="00200789">
      <w:pPr>
        <w:numPr>
          <w:ilvl w:val="0"/>
          <w:numId w:val="2"/>
        </w:numPr>
        <w:rPr>
          <w:rFonts w:ascii="Tahoma" w:hAnsi="Tahoma" w:cs="Tahoma"/>
        </w:rPr>
      </w:pPr>
      <w:r>
        <w:rPr>
          <w:rFonts w:ascii="Tahoma" w:hAnsi="Tahoma" w:cs="Tahoma"/>
        </w:rPr>
        <w:t>Heavy Industry.</w:t>
      </w:r>
    </w:p>
    <w:p w:rsidR="00264716" w:rsidRDefault="00264716" w:rsidP="00200789">
      <w:pPr>
        <w:numPr>
          <w:ilvl w:val="0"/>
          <w:numId w:val="2"/>
        </w:numPr>
        <w:rPr>
          <w:rFonts w:ascii="Tahoma" w:hAnsi="Tahoma" w:cs="Tahoma"/>
        </w:rPr>
      </w:pPr>
      <w:r>
        <w:rPr>
          <w:rFonts w:ascii="Tahoma" w:hAnsi="Tahoma" w:cs="Tahoma"/>
        </w:rPr>
        <w:t>Power Intensive Industry.</w:t>
      </w:r>
    </w:p>
    <w:p w:rsidR="00264716" w:rsidRDefault="00264716" w:rsidP="00200789">
      <w:pPr>
        <w:numPr>
          <w:ilvl w:val="0"/>
          <w:numId w:val="2"/>
        </w:numPr>
        <w:rPr>
          <w:rFonts w:ascii="Tahoma" w:hAnsi="Tahoma" w:cs="Tahoma"/>
        </w:rPr>
      </w:pPr>
      <w:r>
        <w:rPr>
          <w:rFonts w:ascii="Tahoma" w:hAnsi="Tahoma" w:cs="Tahoma"/>
        </w:rPr>
        <w:t>Mini Steel Plant.</w:t>
      </w:r>
    </w:p>
    <w:p w:rsidR="00264716" w:rsidRDefault="00264716" w:rsidP="00200789">
      <w:pPr>
        <w:rPr>
          <w:rFonts w:ascii="Tahoma" w:hAnsi="Tahoma" w:cs="Tahoma"/>
        </w:rPr>
      </w:pPr>
    </w:p>
    <w:p w:rsidR="00264716" w:rsidRDefault="00264716" w:rsidP="00200789">
      <w:pPr>
        <w:tabs>
          <w:tab w:val="left" w:pos="900"/>
        </w:tabs>
        <w:spacing w:line="360" w:lineRule="auto"/>
        <w:jc w:val="both"/>
        <w:rPr>
          <w:rFonts w:ascii="Tahoma" w:hAnsi="Tahoma" w:cs="Tahoma"/>
        </w:rPr>
      </w:pPr>
      <w:r>
        <w:rPr>
          <w:rFonts w:ascii="Tahoma" w:hAnsi="Tahoma" w:cs="Tahoma"/>
        </w:rPr>
        <w:tab/>
        <w:t>Sales rate per unit is computed at 100% load factor and which is tabulated below:</w:t>
      </w:r>
    </w:p>
    <w:p w:rsidR="00264716" w:rsidRDefault="00264716" w:rsidP="00200789">
      <w:pPr>
        <w:rPr>
          <w:rFonts w:ascii="Tahoma" w:hAnsi="Tahoma" w:cs="Tahoma"/>
        </w:rPr>
      </w:pPr>
    </w:p>
    <w:tbl>
      <w:tblPr>
        <w:tblW w:w="8860" w:type="dxa"/>
        <w:tblInd w:w="-106" w:type="dxa"/>
        <w:tblLayout w:type="fixed"/>
        <w:tblLook w:val="0000"/>
      </w:tblPr>
      <w:tblGrid>
        <w:gridCol w:w="772"/>
        <w:gridCol w:w="1339"/>
        <w:gridCol w:w="1669"/>
        <w:gridCol w:w="1552"/>
        <w:gridCol w:w="2300"/>
        <w:gridCol w:w="1228"/>
      </w:tblGrid>
      <w:tr w:rsidR="00264716">
        <w:trPr>
          <w:trHeight w:val="1260"/>
        </w:trPr>
        <w:tc>
          <w:tcPr>
            <w:tcW w:w="772" w:type="dxa"/>
            <w:tcBorders>
              <w:top w:val="single" w:sz="4" w:space="0" w:color="auto"/>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33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Demand Charge (Rs./ KVA)</w:t>
            </w:r>
          </w:p>
        </w:tc>
        <w:tc>
          <w:tcPr>
            <w:tcW w:w="1669"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Normal Energy charges.  &lt;=60%   (P/KWH)</w:t>
            </w:r>
          </w:p>
        </w:tc>
        <w:tc>
          <w:tcPr>
            <w:tcW w:w="1552" w:type="dxa"/>
            <w:tcBorders>
              <w:top w:val="single" w:sz="4" w:space="0" w:color="auto"/>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Normal Energy charges.  &gt;60%  (P/KWH)</w:t>
            </w:r>
          </w:p>
        </w:tc>
        <w:tc>
          <w:tcPr>
            <w:tcW w:w="2300" w:type="dxa"/>
            <w:tcBorders>
              <w:top w:val="single" w:sz="4" w:space="0" w:color="auto"/>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Power factor</w:t>
            </w:r>
          </w:p>
        </w:tc>
        <w:tc>
          <w:tcPr>
            <w:tcW w:w="1228" w:type="dxa"/>
            <w:tcBorders>
              <w:top w:val="single" w:sz="4" w:space="0" w:color="auto"/>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r>
      <w:tr w:rsidR="00264716">
        <w:trPr>
          <w:trHeight w:val="555"/>
        </w:trPr>
        <w:tc>
          <w:tcPr>
            <w:tcW w:w="772" w:type="dxa"/>
            <w:tcBorders>
              <w:top w:val="nil"/>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Tariff rate </w:t>
            </w:r>
          </w:p>
        </w:tc>
        <w:tc>
          <w:tcPr>
            <w:tcW w:w="133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250</w:t>
            </w:r>
          </w:p>
        </w:tc>
        <w:tc>
          <w:tcPr>
            <w:tcW w:w="166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500</w:t>
            </w:r>
          </w:p>
        </w:tc>
        <w:tc>
          <w:tcPr>
            <w:tcW w:w="1552"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395</w:t>
            </w:r>
          </w:p>
        </w:tc>
        <w:tc>
          <w:tcPr>
            <w:tcW w:w="2300"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0.9</w:t>
            </w:r>
          </w:p>
        </w:tc>
        <w:tc>
          <w:tcPr>
            <w:tcW w:w="1228"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r>
      <w:tr w:rsidR="00264716">
        <w:trPr>
          <w:trHeight w:val="1020"/>
        </w:trPr>
        <w:tc>
          <w:tcPr>
            <w:tcW w:w="772" w:type="dxa"/>
            <w:tcBorders>
              <w:top w:val="nil"/>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CD</w:t>
            </w:r>
          </w:p>
          <w:p w:rsidR="00264716" w:rsidRDefault="00264716" w:rsidP="00200789">
            <w:pPr>
              <w:jc w:val="center"/>
              <w:rPr>
                <w:rFonts w:ascii="Arial" w:hAnsi="Arial" w:cs="Arial"/>
                <w:b/>
                <w:bCs/>
                <w:sz w:val="20"/>
                <w:szCs w:val="20"/>
              </w:rPr>
            </w:pPr>
            <w:r>
              <w:rPr>
                <w:rFonts w:ascii="Arial" w:hAnsi="Arial" w:cs="Arial"/>
                <w:b/>
                <w:bCs/>
                <w:sz w:val="20"/>
                <w:szCs w:val="20"/>
              </w:rPr>
              <w:t>(KVA)</w:t>
            </w:r>
          </w:p>
        </w:tc>
        <w:tc>
          <w:tcPr>
            <w:tcW w:w="1339" w:type="dxa"/>
            <w:tcBorders>
              <w:top w:val="nil"/>
              <w:left w:val="nil"/>
              <w:bottom w:val="single" w:sz="4" w:space="0" w:color="auto"/>
              <w:right w:val="single" w:sz="4" w:space="0" w:color="auto"/>
            </w:tcBorders>
            <w:vAlign w:val="center"/>
          </w:tcPr>
          <w:p w:rsidR="00264716" w:rsidRDefault="00264716" w:rsidP="00200789">
            <w:pPr>
              <w:rPr>
                <w:rFonts w:ascii="Arial" w:hAnsi="Arial" w:cs="Arial"/>
                <w:b/>
                <w:bCs/>
                <w:sz w:val="20"/>
                <w:szCs w:val="20"/>
              </w:rPr>
            </w:pPr>
            <w:r>
              <w:rPr>
                <w:rFonts w:ascii="Arial" w:hAnsi="Arial" w:cs="Arial"/>
                <w:b/>
                <w:bCs/>
                <w:sz w:val="20"/>
                <w:szCs w:val="20"/>
              </w:rPr>
              <w:t xml:space="preserve"> Incremental</w:t>
            </w:r>
          </w:p>
          <w:p w:rsidR="00264716" w:rsidRDefault="00264716" w:rsidP="00200789">
            <w:pPr>
              <w:rPr>
                <w:rFonts w:ascii="Arial" w:hAnsi="Arial" w:cs="Arial"/>
                <w:b/>
                <w:bCs/>
                <w:sz w:val="20"/>
                <w:szCs w:val="20"/>
              </w:rPr>
            </w:pPr>
            <w:r>
              <w:rPr>
                <w:rFonts w:ascii="Arial" w:hAnsi="Arial" w:cs="Arial"/>
                <w:b/>
                <w:bCs/>
                <w:sz w:val="20"/>
                <w:szCs w:val="20"/>
              </w:rPr>
              <w:t>L.F (%)</w:t>
            </w:r>
          </w:p>
        </w:tc>
        <w:tc>
          <w:tcPr>
            <w:tcW w:w="1669"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Max units per month</w:t>
            </w:r>
          </w:p>
        </w:tc>
        <w:tc>
          <w:tcPr>
            <w:tcW w:w="1552"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Avg. energy charge rate</w:t>
            </w:r>
          </w:p>
        </w:tc>
        <w:tc>
          <w:tcPr>
            <w:tcW w:w="2300"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Demand charge component</w:t>
            </w:r>
          </w:p>
        </w:tc>
        <w:tc>
          <w:tcPr>
            <w:tcW w:w="1228"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Total rate</w:t>
            </w:r>
          </w:p>
        </w:tc>
      </w:tr>
      <w:tr w:rsidR="00264716">
        <w:trPr>
          <w:trHeight w:val="255"/>
        </w:trPr>
        <w:tc>
          <w:tcPr>
            <w:tcW w:w="772" w:type="dxa"/>
            <w:tcBorders>
              <w:top w:val="nil"/>
              <w:left w:val="single" w:sz="4" w:space="0" w:color="auto"/>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339"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w:t>
            </w:r>
          </w:p>
        </w:tc>
        <w:tc>
          <w:tcPr>
            <w:tcW w:w="1669"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 Units (KWH)</w:t>
            </w:r>
          </w:p>
        </w:tc>
        <w:tc>
          <w:tcPr>
            <w:tcW w:w="1552"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 </w:t>
            </w:r>
          </w:p>
        </w:tc>
        <w:tc>
          <w:tcPr>
            <w:tcW w:w="2300"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w:t>
            </w:r>
          </w:p>
        </w:tc>
        <w:tc>
          <w:tcPr>
            <w:tcW w:w="1228" w:type="dxa"/>
            <w:tcBorders>
              <w:top w:val="nil"/>
              <w:left w:val="nil"/>
              <w:bottom w:val="single" w:sz="4" w:space="0" w:color="auto"/>
              <w:right w:val="single" w:sz="4" w:space="0" w:color="auto"/>
            </w:tcBorders>
            <w:vAlign w:val="center"/>
          </w:tcPr>
          <w:p w:rsidR="00264716" w:rsidRDefault="00264716" w:rsidP="00200789">
            <w:pPr>
              <w:jc w:val="center"/>
              <w:rPr>
                <w:rFonts w:ascii="Arial" w:hAnsi="Arial" w:cs="Arial"/>
                <w:b/>
                <w:bCs/>
                <w:sz w:val="20"/>
                <w:szCs w:val="20"/>
              </w:rPr>
            </w:pPr>
            <w:r>
              <w:rPr>
                <w:rFonts w:ascii="Arial" w:hAnsi="Arial" w:cs="Arial"/>
                <w:b/>
                <w:bCs/>
                <w:sz w:val="20"/>
                <w:szCs w:val="20"/>
              </w:rPr>
              <w:t>(P/KWH)</w:t>
            </w:r>
          </w:p>
        </w:tc>
      </w:tr>
      <w:tr w:rsidR="00264716">
        <w:trPr>
          <w:trHeight w:val="255"/>
        </w:trPr>
        <w:tc>
          <w:tcPr>
            <w:tcW w:w="772" w:type="dxa"/>
            <w:tcBorders>
              <w:top w:val="nil"/>
              <w:left w:val="single" w:sz="4" w:space="0" w:color="auto"/>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1</w:t>
            </w:r>
          </w:p>
        </w:tc>
        <w:tc>
          <w:tcPr>
            <w:tcW w:w="133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100</w:t>
            </w:r>
          </w:p>
        </w:tc>
        <w:tc>
          <w:tcPr>
            <w:tcW w:w="1669"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657</w:t>
            </w:r>
          </w:p>
        </w:tc>
        <w:tc>
          <w:tcPr>
            <w:tcW w:w="1552"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458.00</w:t>
            </w:r>
          </w:p>
        </w:tc>
        <w:tc>
          <w:tcPr>
            <w:tcW w:w="2300"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38.05</w:t>
            </w:r>
          </w:p>
        </w:tc>
        <w:tc>
          <w:tcPr>
            <w:tcW w:w="1228" w:type="dxa"/>
            <w:tcBorders>
              <w:top w:val="nil"/>
              <w:left w:val="nil"/>
              <w:bottom w:val="single" w:sz="4" w:space="0" w:color="auto"/>
              <w:right w:val="single" w:sz="4" w:space="0" w:color="auto"/>
            </w:tcBorders>
            <w:noWrap/>
            <w:vAlign w:val="center"/>
          </w:tcPr>
          <w:p w:rsidR="00264716" w:rsidRDefault="00264716" w:rsidP="00200789">
            <w:pPr>
              <w:jc w:val="center"/>
              <w:rPr>
                <w:rFonts w:ascii="Arial" w:hAnsi="Arial" w:cs="Arial"/>
                <w:sz w:val="20"/>
                <w:szCs w:val="20"/>
              </w:rPr>
            </w:pPr>
            <w:r>
              <w:rPr>
                <w:rFonts w:ascii="Arial" w:hAnsi="Arial" w:cs="Arial"/>
                <w:sz w:val="20"/>
                <w:szCs w:val="20"/>
              </w:rPr>
              <w:t>496.05</w:t>
            </w:r>
          </w:p>
        </w:tc>
      </w:tr>
    </w:tbl>
    <w:p w:rsidR="00264716" w:rsidRDefault="00264716" w:rsidP="00200789">
      <w:pPr>
        <w:rPr>
          <w:rFonts w:ascii="Tahoma" w:hAnsi="Tahoma" w:cs="Tahoma"/>
        </w:rPr>
      </w:pPr>
    </w:p>
    <w:p w:rsidR="00264716" w:rsidRDefault="00264716" w:rsidP="00200789">
      <w:pPr>
        <w:rPr>
          <w:rFonts w:ascii="Tahoma" w:hAnsi="Tahoma" w:cs="Tahoma"/>
        </w:rPr>
      </w:pPr>
      <w:r>
        <w:rPr>
          <w:rFonts w:ascii="Tahoma" w:hAnsi="Tahoma" w:cs="Tahoma"/>
        </w:rPr>
        <w:t>Surcharge(S) =T-(C+D+E)</w:t>
      </w:r>
    </w:p>
    <w:p w:rsidR="00264716" w:rsidRDefault="00264716" w:rsidP="00200789">
      <w:pPr>
        <w:rPr>
          <w:rFonts w:ascii="Tahoma" w:hAnsi="Tahoma" w:cs="Tahoma"/>
        </w:rPr>
      </w:pPr>
    </w:p>
    <w:p w:rsidR="00264716" w:rsidRDefault="00264716" w:rsidP="00200789">
      <w:pPr>
        <w:rPr>
          <w:rFonts w:ascii="Tahoma" w:hAnsi="Tahoma" w:cs="Tahoma"/>
        </w:rPr>
      </w:pPr>
      <w:r>
        <w:rPr>
          <w:rFonts w:ascii="Tahoma" w:hAnsi="Tahoma" w:cs="Tahoma"/>
        </w:rPr>
        <w:t xml:space="preserve">             Where T- sales rate per unit (496p)</w:t>
      </w:r>
    </w:p>
    <w:p w:rsidR="00264716" w:rsidRDefault="00264716" w:rsidP="00200789">
      <w:pPr>
        <w:rPr>
          <w:rFonts w:ascii="Tahoma" w:hAnsi="Tahoma" w:cs="Tahoma"/>
        </w:rPr>
      </w:pPr>
      <w:r>
        <w:rPr>
          <w:rFonts w:ascii="Tahoma" w:hAnsi="Tahoma" w:cs="Tahoma"/>
        </w:rPr>
        <w:t xml:space="preserve">                       C-BST rate for CESU / per unit  (265p)</w:t>
      </w:r>
    </w:p>
    <w:p w:rsidR="00264716" w:rsidRDefault="00264716" w:rsidP="00200789">
      <w:pPr>
        <w:rPr>
          <w:rFonts w:ascii="Tahoma" w:hAnsi="Tahoma" w:cs="Tahoma"/>
        </w:rPr>
      </w:pPr>
      <w:r>
        <w:rPr>
          <w:rFonts w:ascii="Tahoma" w:hAnsi="Tahoma" w:cs="Tahoma"/>
        </w:rPr>
        <w:t xml:space="preserve">                       D-Transmission Charge / unit (25p)</w:t>
      </w:r>
    </w:p>
    <w:p w:rsidR="00264716" w:rsidRDefault="00264716" w:rsidP="00200789">
      <w:pPr>
        <w:rPr>
          <w:rFonts w:ascii="Tahoma" w:hAnsi="Tahoma" w:cs="Tahoma"/>
        </w:rPr>
      </w:pPr>
      <w:r>
        <w:rPr>
          <w:rFonts w:ascii="Tahoma" w:hAnsi="Tahoma" w:cs="Tahoma"/>
        </w:rPr>
        <w:tab/>
      </w:r>
      <w:r>
        <w:rPr>
          <w:rFonts w:ascii="Tahoma" w:hAnsi="Tahoma" w:cs="Tahoma"/>
        </w:rPr>
        <w:tab/>
        <w:t xml:space="preserve">    E- SLDC Charges / unit (0.16p)</w:t>
      </w:r>
    </w:p>
    <w:p w:rsidR="00264716" w:rsidRDefault="00264716" w:rsidP="00200789">
      <w:pPr>
        <w:rPr>
          <w:rFonts w:ascii="Tahoma" w:hAnsi="Tahoma" w:cs="Tahoma"/>
        </w:rPr>
      </w:pPr>
    </w:p>
    <w:p w:rsidR="00264716" w:rsidRDefault="00264716" w:rsidP="00200789">
      <w:pPr>
        <w:rPr>
          <w:rFonts w:ascii="Tahoma" w:hAnsi="Tahoma" w:cs="Tahoma"/>
        </w:rPr>
      </w:pPr>
    </w:p>
    <w:p w:rsidR="00264716" w:rsidRDefault="00264716" w:rsidP="00200789">
      <w:pPr>
        <w:tabs>
          <w:tab w:val="left" w:pos="900"/>
        </w:tabs>
        <w:spacing w:line="360" w:lineRule="auto"/>
        <w:jc w:val="both"/>
        <w:rPr>
          <w:rFonts w:ascii="Tahoma" w:hAnsi="Tahoma" w:cs="Tahoma"/>
        </w:rPr>
      </w:pPr>
      <w:r>
        <w:rPr>
          <w:rFonts w:ascii="Tahoma" w:hAnsi="Tahoma" w:cs="Tahoma"/>
        </w:rPr>
        <w:tab/>
        <w:t xml:space="preserve">Hence surcharge applicable to the above EHT category of open access consumers is calculated as per above formula amounting to </w:t>
      </w:r>
      <w:r w:rsidRPr="009E2940">
        <w:rPr>
          <w:rFonts w:ascii="Tahoma" w:hAnsi="Tahoma" w:cs="Tahoma"/>
          <w:b/>
          <w:bCs/>
        </w:rPr>
        <w:t>206paisa p</w:t>
      </w:r>
      <w:r>
        <w:rPr>
          <w:rFonts w:ascii="Tahoma" w:hAnsi="Tahoma" w:cs="Tahoma"/>
        </w:rPr>
        <w:t>er unit.</w:t>
      </w:r>
    </w:p>
    <w:p w:rsidR="00264716" w:rsidRDefault="00264716" w:rsidP="00200789">
      <w:pPr>
        <w:tabs>
          <w:tab w:val="left" w:pos="900"/>
          <w:tab w:val="left" w:pos="2160"/>
          <w:tab w:val="left" w:pos="4320"/>
          <w:tab w:val="left" w:pos="6300"/>
        </w:tabs>
        <w:spacing w:line="360" w:lineRule="auto"/>
        <w:jc w:val="both"/>
        <w:rPr>
          <w:rFonts w:ascii="Tahoma" w:hAnsi="Tahoma" w:cs="Tahoma"/>
        </w:rPr>
      </w:pPr>
      <w:r>
        <w:rPr>
          <w:rFonts w:ascii="Tahoma" w:hAnsi="Tahoma" w:cs="Tahoma"/>
        </w:rPr>
        <w:t xml:space="preserve">    Further, for Emergency Supply to CGP/ IPP category of consumers the surcharge is calculated </w:t>
      </w:r>
      <w:r w:rsidRPr="000522DB">
        <w:rPr>
          <w:rFonts w:ascii="Tahoma" w:hAnsi="Tahoma" w:cs="Tahoma"/>
          <w:b/>
          <w:bCs/>
        </w:rPr>
        <w:t xml:space="preserve">to </w:t>
      </w:r>
      <w:r>
        <w:rPr>
          <w:rFonts w:ascii="Tahoma" w:hAnsi="Tahoma" w:cs="Tahoma"/>
          <w:b/>
          <w:bCs/>
        </w:rPr>
        <w:t>405</w:t>
      </w:r>
      <w:r w:rsidRPr="000522DB">
        <w:rPr>
          <w:rFonts w:ascii="Tahoma" w:hAnsi="Tahoma" w:cs="Tahoma"/>
          <w:b/>
          <w:bCs/>
        </w:rPr>
        <w:t xml:space="preserve">p/unit </w:t>
      </w:r>
      <w:r>
        <w:rPr>
          <w:rFonts w:ascii="Tahoma" w:hAnsi="Tahoma" w:cs="Tahoma"/>
        </w:rPr>
        <w:t>for EHT consumers based on the similar practice.</w:t>
      </w:r>
    </w:p>
    <w:p w:rsidR="00264716" w:rsidRDefault="00264716" w:rsidP="00200789">
      <w:pPr>
        <w:tabs>
          <w:tab w:val="left" w:pos="900"/>
        </w:tabs>
        <w:spacing w:line="360" w:lineRule="auto"/>
        <w:jc w:val="both"/>
        <w:rPr>
          <w:rFonts w:ascii="Tahoma" w:hAnsi="Tahoma" w:cs="Tahoma"/>
          <w:b/>
          <w:bCs/>
        </w:rPr>
      </w:pPr>
    </w:p>
    <w:p w:rsidR="00264716" w:rsidRDefault="00264716" w:rsidP="00200789">
      <w:pPr>
        <w:tabs>
          <w:tab w:val="left" w:pos="900"/>
        </w:tabs>
        <w:spacing w:line="360" w:lineRule="auto"/>
        <w:jc w:val="both"/>
        <w:rPr>
          <w:rFonts w:ascii="Tahoma" w:hAnsi="Tahoma" w:cs="Tahoma"/>
          <w:b/>
          <w:bCs/>
        </w:rPr>
      </w:pPr>
    </w:p>
    <w:p w:rsidR="00264716" w:rsidRDefault="00264716" w:rsidP="00200789">
      <w:pPr>
        <w:tabs>
          <w:tab w:val="left" w:pos="900"/>
        </w:tabs>
        <w:spacing w:line="360" w:lineRule="auto"/>
        <w:jc w:val="both"/>
        <w:rPr>
          <w:rFonts w:ascii="Tahoma" w:hAnsi="Tahoma" w:cs="Tahoma"/>
          <w:b/>
          <w:bCs/>
        </w:rPr>
      </w:pPr>
    </w:p>
    <w:p w:rsidR="00264716" w:rsidRDefault="00264716" w:rsidP="00200789">
      <w:pPr>
        <w:tabs>
          <w:tab w:val="left" w:pos="900"/>
        </w:tabs>
        <w:spacing w:line="360" w:lineRule="auto"/>
        <w:jc w:val="both"/>
        <w:rPr>
          <w:rFonts w:ascii="Tahoma" w:hAnsi="Tahoma" w:cs="Tahoma"/>
          <w:b/>
          <w:bCs/>
        </w:rPr>
      </w:pPr>
    </w:p>
    <w:p w:rsidR="00264716" w:rsidRDefault="00264716" w:rsidP="00200789">
      <w:pPr>
        <w:numPr>
          <w:ilvl w:val="0"/>
          <w:numId w:val="4"/>
        </w:numPr>
        <w:tabs>
          <w:tab w:val="left" w:pos="900"/>
        </w:tabs>
        <w:spacing w:line="360" w:lineRule="auto"/>
        <w:jc w:val="both"/>
        <w:rPr>
          <w:rFonts w:ascii="Tahoma" w:hAnsi="Tahoma" w:cs="Tahoma"/>
          <w:b/>
          <w:bCs/>
          <w:u w:val="single"/>
        </w:rPr>
      </w:pPr>
      <w:r>
        <w:rPr>
          <w:rFonts w:ascii="Tahoma" w:hAnsi="Tahoma" w:cs="Tahoma"/>
          <w:b/>
          <w:bCs/>
          <w:u w:val="single"/>
        </w:rPr>
        <w:t>Additional Surcharge:</w:t>
      </w:r>
    </w:p>
    <w:p w:rsidR="00264716" w:rsidRDefault="00264716" w:rsidP="00200789">
      <w:pPr>
        <w:tabs>
          <w:tab w:val="left" w:pos="900"/>
        </w:tabs>
        <w:spacing w:line="360" w:lineRule="auto"/>
        <w:jc w:val="both"/>
        <w:rPr>
          <w:rFonts w:ascii="Tahoma" w:hAnsi="Tahoma" w:cs="Tahoma"/>
        </w:rPr>
      </w:pPr>
      <w:r>
        <w:rPr>
          <w:rFonts w:ascii="Tahoma" w:hAnsi="Tahoma" w:cs="Tahoma"/>
        </w:rPr>
        <w:tab/>
        <w:t>At present two numbers of EHT consumers are availing open access power under CESU’s area of supply. In a particular case open access surcharge is not applicable since it is availing open access power from his own CGP situated outside the jurisdiction of the Licensee. As per Clause -3 of OERC (Determination of open access charges) Regulation-2006, additional surcharge is payable by the open access consumers to meet the fixed cost of the distribution licensee. The following methodology is adopted to arrive at the cost of additional surcharge.</w:t>
      </w:r>
    </w:p>
    <w:p w:rsidR="00264716" w:rsidRDefault="00264716" w:rsidP="00200789">
      <w:pPr>
        <w:tabs>
          <w:tab w:val="left" w:pos="900"/>
        </w:tabs>
        <w:spacing w:line="360" w:lineRule="auto"/>
        <w:jc w:val="both"/>
        <w:rPr>
          <w:rFonts w:ascii="Tahoma" w:hAnsi="Tahoma" w:cs="Tahoma"/>
        </w:rPr>
      </w:pPr>
    </w:p>
    <w:p w:rsidR="00264716" w:rsidRDefault="00264716" w:rsidP="00200789">
      <w:pPr>
        <w:numPr>
          <w:ilvl w:val="0"/>
          <w:numId w:val="3"/>
        </w:numPr>
        <w:tabs>
          <w:tab w:val="left" w:pos="900"/>
        </w:tabs>
        <w:spacing w:line="360" w:lineRule="auto"/>
        <w:jc w:val="both"/>
        <w:rPr>
          <w:rFonts w:ascii="Tahoma" w:hAnsi="Tahoma" w:cs="Tahoma"/>
        </w:rPr>
      </w:pPr>
      <w:r>
        <w:rPr>
          <w:rFonts w:ascii="Tahoma" w:hAnsi="Tahoma" w:cs="Tahoma"/>
        </w:rPr>
        <w:t>The fixed asset cost for the FY.2013-14 as approved by the commission in RST order for the FY.2014-15 i.e Rs.1219.39 Crores.</w:t>
      </w:r>
    </w:p>
    <w:p w:rsidR="00264716" w:rsidRDefault="00264716" w:rsidP="00200789">
      <w:pPr>
        <w:numPr>
          <w:ilvl w:val="0"/>
          <w:numId w:val="3"/>
        </w:numPr>
        <w:tabs>
          <w:tab w:val="left" w:pos="900"/>
        </w:tabs>
        <w:spacing w:line="360" w:lineRule="auto"/>
        <w:jc w:val="both"/>
        <w:rPr>
          <w:rFonts w:ascii="Tahoma" w:hAnsi="Tahoma" w:cs="Tahoma"/>
        </w:rPr>
      </w:pPr>
      <w:r>
        <w:rPr>
          <w:rFonts w:ascii="Tahoma" w:hAnsi="Tahoma" w:cs="Tahoma"/>
        </w:rPr>
        <w:t>The life cycle of the asset is taken as 20years.</w:t>
      </w:r>
    </w:p>
    <w:p w:rsidR="00264716" w:rsidRDefault="00264716" w:rsidP="00200789">
      <w:pPr>
        <w:numPr>
          <w:ilvl w:val="0"/>
          <w:numId w:val="3"/>
        </w:numPr>
        <w:tabs>
          <w:tab w:val="left" w:pos="900"/>
        </w:tabs>
        <w:spacing w:line="360" w:lineRule="auto"/>
        <w:jc w:val="both"/>
        <w:rPr>
          <w:rFonts w:ascii="Tahoma" w:hAnsi="Tahoma" w:cs="Tahoma"/>
        </w:rPr>
      </w:pPr>
      <w:r>
        <w:rPr>
          <w:rFonts w:ascii="Tahoma" w:hAnsi="Tahoma" w:cs="Tahoma"/>
        </w:rPr>
        <w:t>Total unit to be wheeled in the distribution network of CESU excluding the EHT sales is equal to 7798.69 MU i.e. total power purchase minus the EHT sales.</w:t>
      </w:r>
    </w:p>
    <w:p w:rsidR="00264716" w:rsidRDefault="00264716" w:rsidP="00200789">
      <w:pPr>
        <w:tabs>
          <w:tab w:val="left" w:pos="900"/>
        </w:tabs>
        <w:spacing w:line="360" w:lineRule="auto"/>
        <w:ind w:left="440"/>
        <w:jc w:val="both"/>
        <w:rPr>
          <w:rFonts w:ascii="Tahoma" w:hAnsi="Tahoma" w:cs="Tahoma"/>
        </w:rPr>
      </w:pPr>
      <w:r>
        <w:rPr>
          <w:rFonts w:ascii="Tahoma" w:hAnsi="Tahoma" w:cs="Tahoma"/>
        </w:rPr>
        <w:t xml:space="preserve">Additional Surcharge = (Approved asset cost as on 01.04.2014/ life cycle of asset considered)/ Total unit to be wheeled in the distribution network of CESU excluding the EHT sales </w:t>
      </w:r>
    </w:p>
    <w:p w:rsidR="00264716" w:rsidRDefault="00264716" w:rsidP="00200789">
      <w:pPr>
        <w:tabs>
          <w:tab w:val="left" w:pos="900"/>
        </w:tabs>
        <w:spacing w:line="360" w:lineRule="auto"/>
        <w:ind w:left="440"/>
        <w:jc w:val="both"/>
        <w:rPr>
          <w:rFonts w:ascii="Tahoma" w:hAnsi="Tahoma" w:cs="Tahoma"/>
        </w:rPr>
      </w:pPr>
      <w:r>
        <w:rPr>
          <w:rFonts w:ascii="Tahoma" w:hAnsi="Tahoma" w:cs="Tahoma"/>
        </w:rPr>
        <w:t xml:space="preserve">= (1219.39Cr/20year)/7798.69MU = </w:t>
      </w:r>
      <w:r>
        <w:rPr>
          <w:rFonts w:ascii="Tahoma" w:hAnsi="Tahoma" w:cs="Tahoma"/>
          <w:b/>
          <w:bCs/>
        </w:rPr>
        <w:t>7.82</w:t>
      </w:r>
      <w:r w:rsidRPr="00E00D61">
        <w:rPr>
          <w:rFonts w:ascii="Tahoma" w:hAnsi="Tahoma" w:cs="Tahoma"/>
          <w:b/>
          <w:bCs/>
        </w:rPr>
        <w:t>Paisa</w:t>
      </w:r>
      <w:r>
        <w:rPr>
          <w:rFonts w:ascii="Tahoma" w:hAnsi="Tahoma" w:cs="Tahoma"/>
        </w:rPr>
        <w:t>.</w:t>
      </w: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ind w:left="440"/>
        <w:jc w:val="both"/>
        <w:rPr>
          <w:rFonts w:ascii="Tahoma" w:hAnsi="Tahoma" w:cs="Tahoma"/>
        </w:rPr>
      </w:pPr>
      <w:r>
        <w:rPr>
          <w:rFonts w:ascii="Tahoma" w:hAnsi="Tahoma" w:cs="Tahoma"/>
        </w:rPr>
        <w:t xml:space="preserve">         The additional surcharge is payable by all the open access consumers in addition to other charges on the open access consumption. </w:t>
      </w: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ind w:left="440"/>
        <w:jc w:val="both"/>
        <w:rPr>
          <w:rFonts w:ascii="Tahoma" w:hAnsi="Tahoma" w:cs="Tahoma"/>
        </w:rPr>
      </w:pPr>
      <w:r>
        <w:rPr>
          <w:rFonts w:ascii="Tahoma" w:hAnsi="Tahoma" w:cs="Tahoma"/>
        </w:rPr>
        <w:t xml:space="preserve">          From current financial year two EHT consumers are migrated to Eastern Regional Power Grid from the Licensee’s area. The Licensee is yet to be compensated on loss of EHT sales.  </w:t>
      </w:r>
    </w:p>
    <w:p w:rsidR="00264716" w:rsidRDefault="00264716" w:rsidP="00200789">
      <w:pPr>
        <w:tabs>
          <w:tab w:val="left" w:pos="900"/>
        </w:tabs>
        <w:spacing w:line="360" w:lineRule="auto"/>
        <w:ind w:left="440"/>
        <w:jc w:val="both"/>
        <w:rPr>
          <w:rFonts w:ascii="Tahoma" w:hAnsi="Tahoma" w:cs="Tahoma"/>
        </w:rPr>
      </w:pPr>
      <w:r>
        <w:rPr>
          <w:rFonts w:ascii="Tahoma" w:hAnsi="Tahoma" w:cs="Tahoma"/>
        </w:rPr>
        <w:t>The Licensee need to recover minimum fixed cost from all Open Access Customers whether they avail power from own CGP or any other Utility.</w:t>
      </w: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ind w:left="440"/>
        <w:jc w:val="both"/>
        <w:rPr>
          <w:rFonts w:ascii="Tahoma" w:hAnsi="Tahoma" w:cs="Tahoma"/>
        </w:rPr>
      </w:pPr>
      <w:r>
        <w:rPr>
          <w:rFonts w:ascii="Tahoma" w:hAnsi="Tahoma" w:cs="Tahoma"/>
        </w:rPr>
        <w:t xml:space="preserve">Hence additional surcharge of 7.82 paise per unit may be allowed to be levied on all open access customers. </w:t>
      </w: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ind w:left="440"/>
        <w:jc w:val="both"/>
        <w:rPr>
          <w:rFonts w:ascii="Tahoma" w:hAnsi="Tahoma" w:cs="Tahoma"/>
        </w:rPr>
      </w:pPr>
    </w:p>
    <w:p w:rsidR="00264716" w:rsidRDefault="00264716" w:rsidP="00200789">
      <w:pPr>
        <w:tabs>
          <w:tab w:val="left" w:pos="900"/>
        </w:tabs>
        <w:spacing w:line="360" w:lineRule="auto"/>
        <w:jc w:val="both"/>
        <w:rPr>
          <w:rFonts w:ascii="Tahoma" w:hAnsi="Tahoma" w:cs="Tahoma"/>
          <w:b/>
          <w:bCs/>
          <w:u w:val="single"/>
        </w:rPr>
      </w:pPr>
      <w:r>
        <w:rPr>
          <w:rFonts w:ascii="Tahoma" w:hAnsi="Tahoma" w:cs="Tahoma"/>
          <w:b/>
          <w:bCs/>
        </w:rPr>
        <w:t>4.</w:t>
      </w:r>
      <w:r>
        <w:rPr>
          <w:rFonts w:ascii="Tahoma" w:hAnsi="Tahoma" w:cs="Tahoma"/>
          <w:b/>
          <w:bCs/>
        </w:rPr>
        <w:tab/>
      </w:r>
      <w:r>
        <w:rPr>
          <w:rFonts w:ascii="Tahoma" w:hAnsi="Tahoma" w:cs="Tahoma"/>
          <w:b/>
          <w:bCs/>
          <w:u w:val="single"/>
        </w:rPr>
        <w:t>Scheduling &amp; System operation charges:</w:t>
      </w:r>
    </w:p>
    <w:p w:rsidR="00264716" w:rsidRDefault="00264716" w:rsidP="00200789">
      <w:pPr>
        <w:spacing w:line="360" w:lineRule="auto"/>
        <w:jc w:val="both"/>
        <w:rPr>
          <w:rFonts w:ascii="Tahoma" w:hAnsi="Tahoma" w:cs="Tahoma"/>
        </w:rPr>
      </w:pPr>
    </w:p>
    <w:p w:rsidR="00264716" w:rsidRDefault="00264716" w:rsidP="00200789">
      <w:pPr>
        <w:tabs>
          <w:tab w:val="left" w:pos="900"/>
        </w:tabs>
        <w:spacing w:line="360" w:lineRule="auto"/>
        <w:jc w:val="both"/>
        <w:rPr>
          <w:rFonts w:ascii="Tahoma" w:hAnsi="Tahoma" w:cs="Tahoma"/>
        </w:rPr>
      </w:pPr>
      <w:r>
        <w:rPr>
          <w:rFonts w:ascii="Tahoma" w:hAnsi="Tahoma" w:cs="Tahoma"/>
        </w:rPr>
        <w:tab/>
        <w:t>Intra state ABT regulations are applicable to all HT &amp; EHT consumers availing supply with load of 5 MVA and above. Such consumers when apply for long or short term open access are liable to pay scheduling and operation charges for effecting each change in scheduling.</w:t>
      </w:r>
    </w:p>
    <w:p w:rsidR="00264716" w:rsidRDefault="00264716" w:rsidP="00200789">
      <w:pPr>
        <w:spacing w:line="360" w:lineRule="auto"/>
        <w:jc w:val="both"/>
        <w:rPr>
          <w:rFonts w:ascii="Tahoma" w:hAnsi="Tahoma" w:cs="Tahoma"/>
        </w:rPr>
      </w:pPr>
      <w:r>
        <w:rPr>
          <w:rFonts w:ascii="Tahoma" w:hAnsi="Tahoma" w:cs="Tahoma"/>
        </w:rPr>
        <w:t xml:space="preserve">           </w:t>
      </w:r>
    </w:p>
    <w:p w:rsidR="00264716" w:rsidRDefault="00264716" w:rsidP="00200789">
      <w:pPr>
        <w:tabs>
          <w:tab w:val="left" w:pos="900"/>
        </w:tabs>
        <w:spacing w:line="360" w:lineRule="auto"/>
        <w:jc w:val="both"/>
        <w:rPr>
          <w:rFonts w:ascii="Tahoma" w:hAnsi="Tahoma" w:cs="Tahoma"/>
        </w:rPr>
      </w:pPr>
      <w:r>
        <w:rPr>
          <w:rFonts w:ascii="Tahoma" w:hAnsi="Tahoma" w:cs="Tahoma"/>
        </w:rPr>
        <w:tab/>
        <w:t>CESU proposes that a sum of Rs</w:t>
      </w:r>
      <w:r w:rsidRPr="00C70802">
        <w:rPr>
          <w:rFonts w:ascii="Tahoma" w:hAnsi="Tahoma" w:cs="Tahoma"/>
          <w:b/>
          <w:bCs/>
        </w:rPr>
        <w:t>.2000/ day</w:t>
      </w:r>
      <w:r>
        <w:rPr>
          <w:rFonts w:ascii="Tahoma" w:hAnsi="Tahoma" w:cs="Tahoma"/>
        </w:rPr>
        <w:t xml:space="preserve"> or part thereof may be paid by all open access customers.</w:t>
      </w:r>
    </w:p>
    <w:p w:rsidR="00264716" w:rsidRDefault="00264716" w:rsidP="00200789">
      <w:pPr>
        <w:tabs>
          <w:tab w:val="left" w:pos="900"/>
        </w:tabs>
        <w:spacing w:line="360" w:lineRule="auto"/>
        <w:jc w:val="both"/>
        <w:rPr>
          <w:rFonts w:ascii="Tahoma" w:hAnsi="Tahoma" w:cs="Tahoma"/>
        </w:rPr>
      </w:pPr>
    </w:p>
    <w:p w:rsidR="00264716" w:rsidRDefault="00264716" w:rsidP="00200789">
      <w:pPr>
        <w:tabs>
          <w:tab w:val="left" w:pos="900"/>
        </w:tabs>
        <w:spacing w:line="360" w:lineRule="auto"/>
        <w:jc w:val="both"/>
        <w:rPr>
          <w:rFonts w:ascii="Tahoma" w:hAnsi="Tahoma" w:cs="Tahoma"/>
          <w:b/>
          <w:bCs/>
        </w:rPr>
      </w:pPr>
      <w:r>
        <w:rPr>
          <w:rFonts w:ascii="Tahoma" w:hAnsi="Tahoma" w:cs="Tahoma"/>
          <w:b/>
          <w:bCs/>
        </w:rPr>
        <w:t xml:space="preserve">5. </w:t>
      </w:r>
      <w:r>
        <w:rPr>
          <w:rFonts w:ascii="Tahoma" w:hAnsi="Tahoma" w:cs="Tahoma"/>
          <w:b/>
          <w:bCs/>
        </w:rPr>
        <w:tab/>
      </w:r>
      <w:r>
        <w:rPr>
          <w:rFonts w:ascii="Tahoma" w:hAnsi="Tahoma" w:cs="Tahoma"/>
          <w:b/>
          <w:bCs/>
          <w:u w:val="single"/>
        </w:rPr>
        <w:t>Reactive Energy charges</w:t>
      </w:r>
      <w:r>
        <w:rPr>
          <w:rFonts w:ascii="Tahoma" w:hAnsi="Tahoma" w:cs="Tahoma"/>
          <w:b/>
          <w:bCs/>
        </w:rPr>
        <w:t>:</w:t>
      </w:r>
    </w:p>
    <w:p w:rsidR="00264716" w:rsidRDefault="00264716" w:rsidP="007E0297">
      <w:pPr>
        <w:pStyle w:val="BodyText"/>
        <w:tabs>
          <w:tab w:val="left" w:pos="900"/>
        </w:tabs>
      </w:pPr>
      <w:r>
        <w:tab/>
        <w:t xml:space="preserve">Reactive energy charges when applicable will be levied on all Open Access consumers. </w:t>
      </w:r>
    </w:p>
    <w:p w:rsidR="00264716" w:rsidRDefault="00264716" w:rsidP="007E0297">
      <w:pPr>
        <w:pStyle w:val="BodyText"/>
        <w:tabs>
          <w:tab w:val="left" w:pos="900"/>
        </w:tabs>
      </w:pPr>
    </w:p>
    <w:p w:rsidR="00264716" w:rsidRDefault="00264716" w:rsidP="007E0297">
      <w:pPr>
        <w:pStyle w:val="BodyText"/>
        <w:tabs>
          <w:tab w:val="left" w:pos="900"/>
        </w:tabs>
        <w:rPr>
          <w:b/>
          <w:bCs/>
        </w:rPr>
      </w:pPr>
      <w:r>
        <w:rPr>
          <w:b/>
          <w:bCs/>
        </w:rPr>
        <w:t xml:space="preserve">6. </w:t>
      </w:r>
      <w:r>
        <w:rPr>
          <w:b/>
          <w:bCs/>
        </w:rPr>
        <w:tab/>
      </w:r>
      <w:r w:rsidRPr="00F742D4">
        <w:rPr>
          <w:b/>
          <w:bCs/>
          <w:u w:val="single"/>
        </w:rPr>
        <w:t>Miscellaneous charges</w:t>
      </w:r>
      <w:r>
        <w:rPr>
          <w:b/>
          <w:bCs/>
        </w:rPr>
        <w:t>:</w:t>
      </w:r>
    </w:p>
    <w:p w:rsidR="00264716" w:rsidRDefault="00264716" w:rsidP="00200789">
      <w:pPr>
        <w:tabs>
          <w:tab w:val="left" w:pos="900"/>
        </w:tabs>
        <w:spacing w:line="360" w:lineRule="auto"/>
        <w:jc w:val="both"/>
        <w:rPr>
          <w:rFonts w:ascii="Tahoma" w:hAnsi="Tahoma" w:cs="Tahoma"/>
        </w:rPr>
      </w:pPr>
      <w:r>
        <w:rPr>
          <w:rFonts w:ascii="Tahoma" w:hAnsi="Tahoma" w:cs="Tahoma"/>
        </w:rPr>
        <w:tab/>
        <w:t xml:space="preserve">Meter rent &amp; customer charges applicable to EHT &amp; HT consumers shall be borne by all Open Access consumers. </w:t>
      </w:r>
    </w:p>
    <w:p w:rsidR="00264716" w:rsidRDefault="00264716" w:rsidP="00200789">
      <w:pPr>
        <w:tabs>
          <w:tab w:val="left" w:pos="900"/>
        </w:tabs>
        <w:spacing w:line="360" w:lineRule="auto"/>
        <w:jc w:val="both"/>
        <w:rPr>
          <w:rFonts w:ascii="Tahoma" w:hAnsi="Tahoma" w:cs="Tahoma"/>
        </w:rPr>
      </w:pPr>
    </w:p>
    <w:p w:rsidR="00264716" w:rsidRDefault="00264716" w:rsidP="007E0297">
      <w:pPr>
        <w:tabs>
          <w:tab w:val="left" w:pos="900"/>
        </w:tabs>
        <w:spacing w:line="360" w:lineRule="auto"/>
        <w:jc w:val="both"/>
      </w:pPr>
      <w:r>
        <w:tab/>
      </w:r>
    </w:p>
    <w:p w:rsidR="00264716" w:rsidRDefault="00264716" w:rsidP="00200789"/>
    <w:sectPr w:rsidR="00264716" w:rsidSect="00D03E06">
      <w:footerReference w:type="default" r:id="rId7"/>
      <w:pgSz w:w="12240" w:h="15840"/>
      <w:pgMar w:top="432" w:right="1260" w:bottom="850" w:left="1440"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716" w:rsidRDefault="00264716">
      <w:r>
        <w:separator/>
      </w:r>
    </w:p>
  </w:endnote>
  <w:endnote w:type="continuationSeparator" w:id="0">
    <w:p w:rsidR="00264716" w:rsidRDefault="00264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716" w:rsidRDefault="00264716" w:rsidP="00715DA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264716" w:rsidRDefault="00264716" w:rsidP="00715DA3">
    <w:pPr>
      <w:pStyle w:val="Footer"/>
      <w:ind w:right="360"/>
    </w:pPr>
    <w:r>
      <w:tab/>
      <w:t xml:space="preserve">                                                                                                                                      Page </w:t>
    </w:r>
    <w: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716" w:rsidRDefault="00264716">
      <w:r>
        <w:separator/>
      </w:r>
    </w:p>
  </w:footnote>
  <w:footnote w:type="continuationSeparator" w:id="0">
    <w:p w:rsidR="00264716" w:rsidRDefault="002647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36C12"/>
    <w:multiLevelType w:val="hybridMultilevel"/>
    <w:tmpl w:val="760873F2"/>
    <w:lvl w:ilvl="0" w:tplc="4009000F">
      <w:start w:val="1"/>
      <w:numFmt w:val="decimal"/>
      <w:lvlText w:val="%1."/>
      <w:lvlJc w:val="left"/>
      <w:pPr>
        <w:ind w:left="720" w:hanging="360"/>
      </w:pPr>
      <w:rPr>
        <w:rFonts w:cs="Times New Roman"/>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1">
    <w:nsid w:val="4EDF0653"/>
    <w:multiLevelType w:val="hybridMultilevel"/>
    <w:tmpl w:val="19A656E2"/>
    <w:lvl w:ilvl="0" w:tplc="7CC4FA82">
      <w:start w:val="1"/>
      <w:numFmt w:val="lowerLetter"/>
      <w:lvlText w:val="(%1)"/>
      <w:lvlJc w:val="left"/>
      <w:pPr>
        <w:ind w:left="1260" w:hanging="90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2">
    <w:nsid w:val="52570E5C"/>
    <w:multiLevelType w:val="hybridMultilevel"/>
    <w:tmpl w:val="3948F086"/>
    <w:lvl w:ilvl="0" w:tplc="04090005">
      <w:start w:val="1"/>
      <w:numFmt w:val="bullet"/>
      <w:lvlText w:val=""/>
      <w:lvlJc w:val="left"/>
      <w:pPr>
        <w:tabs>
          <w:tab w:val="num" w:pos="1340"/>
        </w:tabs>
        <w:ind w:left="1340" w:hanging="360"/>
      </w:pPr>
      <w:rPr>
        <w:rFonts w:ascii="Wingdings" w:hAnsi="Wingdings" w:hint="default"/>
      </w:rPr>
    </w:lvl>
    <w:lvl w:ilvl="1" w:tplc="04090003">
      <w:start w:val="1"/>
      <w:numFmt w:val="bullet"/>
      <w:lvlText w:val="o"/>
      <w:lvlJc w:val="left"/>
      <w:pPr>
        <w:tabs>
          <w:tab w:val="num" w:pos="2060"/>
        </w:tabs>
        <w:ind w:left="2060" w:hanging="360"/>
      </w:pPr>
      <w:rPr>
        <w:rFonts w:ascii="Courier New" w:hAnsi="Courier New" w:hint="default"/>
      </w:rPr>
    </w:lvl>
    <w:lvl w:ilvl="2" w:tplc="04090005">
      <w:start w:val="1"/>
      <w:numFmt w:val="bullet"/>
      <w:lvlText w:val=""/>
      <w:lvlJc w:val="left"/>
      <w:pPr>
        <w:tabs>
          <w:tab w:val="num" w:pos="2780"/>
        </w:tabs>
        <w:ind w:left="2780" w:hanging="360"/>
      </w:pPr>
      <w:rPr>
        <w:rFonts w:ascii="Wingdings" w:hAnsi="Wingdings" w:hint="default"/>
      </w:rPr>
    </w:lvl>
    <w:lvl w:ilvl="3" w:tplc="04090001">
      <w:start w:val="1"/>
      <w:numFmt w:val="bullet"/>
      <w:lvlText w:val=""/>
      <w:lvlJc w:val="left"/>
      <w:pPr>
        <w:tabs>
          <w:tab w:val="num" w:pos="3500"/>
        </w:tabs>
        <w:ind w:left="3500" w:hanging="360"/>
      </w:pPr>
      <w:rPr>
        <w:rFonts w:ascii="Symbol" w:hAnsi="Symbol" w:hint="default"/>
      </w:rPr>
    </w:lvl>
    <w:lvl w:ilvl="4" w:tplc="04090003">
      <w:start w:val="1"/>
      <w:numFmt w:val="bullet"/>
      <w:lvlText w:val="o"/>
      <w:lvlJc w:val="left"/>
      <w:pPr>
        <w:tabs>
          <w:tab w:val="num" w:pos="4220"/>
        </w:tabs>
        <w:ind w:left="4220" w:hanging="360"/>
      </w:pPr>
      <w:rPr>
        <w:rFonts w:ascii="Courier New" w:hAnsi="Courier New" w:hint="default"/>
      </w:rPr>
    </w:lvl>
    <w:lvl w:ilvl="5" w:tplc="04090005">
      <w:start w:val="1"/>
      <w:numFmt w:val="bullet"/>
      <w:lvlText w:val=""/>
      <w:lvlJc w:val="left"/>
      <w:pPr>
        <w:tabs>
          <w:tab w:val="num" w:pos="4940"/>
        </w:tabs>
        <w:ind w:left="4940" w:hanging="360"/>
      </w:pPr>
      <w:rPr>
        <w:rFonts w:ascii="Wingdings" w:hAnsi="Wingdings" w:hint="default"/>
      </w:rPr>
    </w:lvl>
    <w:lvl w:ilvl="6" w:tplc="04090001">
      <w:start w:val="1"/>
      <w:numFmt w:val="bullet"/>
      <w:lvlText w:val=""/>
      <w:lvlJc w:val="left"/>
      <w:pPr>
        <w:tabs>
          <w:tab w:val="num" w:pos="5660"/>
        </w:tabs>
        <w:ind w:left="5660" w:hanging="360"/>
      </w:pPr>
      <w:rPr>
        <w:rFonts w:ascii="Symbol" w:hAnsi="Symbol" w:hint="default"/>
      </w:rPr>
    </w:lvl>
    <w:lvl w:ilvl="7" w:tplc="04090003">
      <w:start w:val="1"/>
      <w:numFmt w:val="bullet"/>
      <w:lvlText w:val="o"/>
      <w:lvlJc w:val="left"/>
      <w:pPr>
        <w:tabs>
          <w:tab w:val="num" w:pos="6380"/>
        </w:tabs>
        <w:ind w:left="6380" w:hanging="360"/>
      </w:pPr>
      <w:rPr>
        <w:rFonts w:ascii="Courier New" w:hAnsi="Courier New" w:hint="default"/>
      </w:rPr>
    </w:lvl>
    <w:lvl w:ilvl="8" w:tplc="04090005">
      <w:start w:val="1"/>
      <w:numFmt w:val="bullet"/>
      <w:lvlText w:val=""/>
      <w:lvlJc w:val="left"/>
      <w:pPr>
        <w:tabs>
          <w:tab w:val="num" w:pos="7100"/>
        </w:tabs>
        <w:ind w:left="7100" w:hanging="360"/>
      </w:pPr>
      <w:rPr>
        <w:rFonts w:ascii="Wingdings" w:hAnsi="Wingdings" w:hint="default"/>
      </w:rPr>
    </w:lvl>
  </w:abstractNum>
  <w:abstractNum w:abstractNumId="3">
    <w:nsid w:val="53953ABD"/>
    <w:multiLevelType w:val="hybridMultilevel"/>
    <w:tmpl w:val="69C05AD4"/>
    <w:lvl w:ilvl="0" w:tplc="04090005">
      <w:start w:val="1"/>
      <w:numFmt w:val="bullet"/>
      <w:lvlText w:val=""/>
      <w:lvlJc w:val="left"/>
      <w:pPr>
        <w:tabs>
          <w:tab w:val="num" w:pos="1620"/>
        </w:tabs>
        <w:ind w:left="1620" w:hanging="360"/>
      </w:pPr>
      <w:rPr>
        <w:rFonts w:ascii="Wingdings" w:hAnsi="Wingdings"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4">
    <w:nsid w:val="6CEE4615"/>
    <w:multiLevelType w:val="hybridMultilevel"/>
    <w:tmpl w:val="0556FFD6"/>
    <w:lvl w:ilvl="0" w:tplc="0C5224EE">
      <w:start w:val="3"/>
      <w:numFmt w:val="decimal"/>
      <w:lvlText w:val="%1."/>
      <w:lvlJc w:val="left"/>
      <w:pPr>
        <w:tabs>
          <w:tab w:val="num" w:pos="1260"/>
        </w:tabs>
        <w:ind w:left="1260" w:hanging="90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6DAB0A34"/>
    <w:multiLevelType w:val="hybridMultilevel"/>
    <w:tmpl w:val="5CBE3B1C"/>
    <w:lvl w:ilvl="0" w:tplc="04090001">
      <w:start w:val="1"/>
      <w:numFmt w:val="bullet"/>
      <w:lvlText w:val=""/>
      <w:lvlJc w:val="left"/>
      <w:pPr>
        <w:tabs>
          <w:tab w:val="num" w:pos="800"/>
        </w:tabs>
        <w:ind w:left="800" w:hanging="360"/>
      </w:pPr>
      <w:rPr>
        <w:rFonts w:ascii="Symbol" w:hAnsi="Symbol" w:hint="default"/>
      </w:rPr>
    </w:lvl>
    <w:lvl w:ilvl="1" w:tplc="04090003">
      <w:start w:val="1"/>
      <w:numFmt w:val="bullet"/>
      <w:lvlText w:val="o"/>
      <w:lvlJc w:val="left"/>
      <w:pPr>
        <w:tabs>
          <w:tab w:val="num" w:pos="1520"/>
        </w:tabs>
        <w:ind w:left="1520" w:hanging="360"/>
      </w:pPr>
      <w:rPr>
        <w:rFonts w:ascii="Courier New" w:hAnsi="Courier New" w:hint="default"/>
      </w:rPr>
    </w:lvl>
    <w:lvl w:ilvl="2" w:tplc="04090005">
      <w:start w:val="1"/>
      <w:numFmt w:val="bullet"/>
      <w:lvlText w:val=""/>
      <w:lvlJc w:val="left"/>
      <w:pPr>
        <w:tabs>
          <w:tab w:val="num" w:pos="2240"/>
        </w:tabs>
        <w:ind w:left="2240" w:hanging="360"/>
      </w:pPr>
      <w:rPr>
        <w:rFonts w:ascii="Wingdings" w:hAnsi="Wingdings" w:hint="default"/>
      </w:rPr>
    </w:lvl>
    <w:lvl w:ilvl="3" w:tplc="04090001">
      <w:start w:val="1"/>
      <w:numFmt w:val="bullet"/>
      <w:lvlText w:val=""/>
      <w:lvlJc w:val="left"/>
      <w:pPr>
        <w:tabs>
          <w:tab w:val="num" w:pos="2960"/>
        </w:tabs>
        <w:ind w:left="2960" w:hanging="360"/>
      </w:pPr>
      <w:rPr>
        <w:rFonts w:ascii="Symbol" w:hAnsi="Symbol" w:hint="default"/>
      </w:rPr>
    </w:lvl>
    <w:lvl w:ilvl="4" w:tplc="04090003">
      <w:start w:val="1"/>
      <w:numFmt w:val="bullet"/>
      <w:lvlText w:val="o"/>
      <w:lvlJc w:val="left"/>
      <w:pPr>
        <w:tabs>
          <w:tab w:val="num" w:pos="3680"/>
        </w:tabs>
        <w:ind w:left="3680" w:hanging="360"/>
      </w:pPr>
      <w:rPr>
        <w:rFonts w:ascii="Courier New" w:hAnsi="Courier New" w:hint="default"/>
      </w:rPr>
    </w:lvl>
    <w:lvl w:ilvl="5" w:tplc="04090005">
      <w:start w:val="1"/>
      <w:numFmt w:val="bullet"/>
      <w:lvlText w:val=""/>
      <w:lvlJc w:val="left"/>
      <w:pPr>
        <w:tabs>
          <w:tab w:val="num" w:pos="4400"/>
        </w:tabs>
        <w:ind w:left="4400" w:hanging="360"/>
      </w:pPr>
      <w:rPr>
        <w:rFonts w:ascii="Wingdings" w:hAnsi="Wingdings" w:hint="default"/>
      </w:rPr>
    </w:lvl>
    <w:lvl w:ilvl="6" w:tplc="04090001">
      <w:start w:val="1"/>
      <w:numFmt w:val="bullet"/>
      <w:lvlText w:val=""/>
      <w:lvlJc w:val="left"/>
      <w:pPr>
        <w:tabs>
          <w:tab w:val="num" w:pos="5120"/>
        </w:tabs>
        <w:ind w:left="5120" w:hanging="360"/>
      </w:pPr>
      <w:rPr>
        <w:rFonts w:ascii="Symbol" w:hAnsi="Symbol" w:hint="default"/>
      </w:rPr>
    </w:lvl>
    <w:lvl w:ilvl="7" w:tplc="04090003">
      <w:start w:val="1"/>
      <w:numFmt w:val="bullet"/>
      <w:lvlText w:val="o"/>
      <w:lvlJc w:val="left"/>
      <w:pPr>
        <w:tabs>
          <w:tab w:val="num" w:pos="5840"/>
        </w:tabs>
        <w:ind w:left="5840" w:hanging="360"/>
      </w:pPr>
      <w:rPr>
        <w:rFonts w:ascii="Courier New" w:hAnsi="Courier New" w:hint="default"/>
      </w:rPr>
    </w:lvl>
    <w:lvl w:ilvl="8" w:tplc="04090005">
      <w:start w:val="1"/>
      <w:numFmt w:val="bullet"/>
      <w:lvlText w:val=""/>
      <w:lvlJc w:val="left"/>
      <w:pPr>
        <w:tabs>
          <w:tab w:val="num" w:pos="6560"/>
        </w:tabs>
        <w:ind w:left="6560" w:hanging="360"/>
      </w:pPr>
      <w:rPr>
        <w:rFonts w:ascii="Wingdings" w:hAnsi="Wingdings" w:hint="default"/>
      </w:rPr>
    </w:lvl>
  </w:abstractNum>
  <w:abstractNum w:abstractNumId="6">
    <w:nsid w:val="73776B95"/>
    <w:multiLevelType w:val="hybridMultilevel"/>
    <w:tmpl w:val="E5C684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7">
    <w:nsid w:val="7754248B"/>
    <w:multiLevelType w:val="hybridMultilevel"/>
    <w:tmpl w:val="2D2080AC"/>
    <w:lvl w:ilvl="0" w:tplc="40090017">
      <w:start w:val="1"/>
      <w:numFmt w:val="lowerLetter"/>
      <w:lvlText w:val="%1)"/>
      <w:lvlJc w:val="left"/>
      <w:pPr>
        <w:ind w:left="1260" w:hanging="90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num w:numId="1">
    <w:abstractNumId w:val="3"/>
  </w:num>
  <w:num w:numId="2">
    <w:abstractNumId w:val="2"/>
  </w:num>
  <w:num w:numId="3">
    <w:abstractNumId w:val="5"/>
  </w:num>
  <w:num w:numId="4">
    <w:abstractNumId w:val="4"/>
  </w:num>
  <w:num w:numId="5">
    <w:abstractNumId w:val="0"/>
  </w:num>
  <w:num w:numId="6">
    <w:abstractNumId w:val="1"/>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789"/>
    <w:rsid w:val="00004682"/>
    <w:rsid w:val="00012C07"/>
    <w:rsid w:val="000522DB"/>
    <w:rsid w:val="000913AA"/>
    <w:rsid w:val="000B2F5B"/>
    <w:rsid w:val="000B7A4F"/>
    <w:rsid w:val="000C1301"/>
    <w:rsid w:val="000C5709"/>
    <w:rsid w:val="000E56FB"/>
    <w:rsid w:val="001A09F1"/>
    <w:rsid w:val="001B4412"/>
    <w:rsid w:val="001E6490"/>
    <w:rsid w:val="001F23A7"/>
    <w:rsid w:val="001F3DE9"/>
    <w:rsid w:val="00200789"/>
    <w:rsid w:val="002372E4"/>
    <w:rsid w:val="00264716"/>
    <w:rsid w:val="002D0E84"/>
    <w:rsid w:val="003306D9"/>
    <w:rsid w:val="00386FFA"/>
    <w:rsid w:val="003C0399"/>
    <w:rsid w:val="00464DCC"/>
    <w:rsid w:val="00493C06"/>
    <w:rsid w:val="004A17FB"/>
    <w:rsid w:val="004E7AD3"/>
    <w:rsid w:val="004F797D"/>
    <w:rsid w:val="00602A68"/>
    <w:rsid w:val="0065075B"/>
    <w:rsid w:val="006F1115"/>
    <w:rsid w:val="0070240D"/>
    <w:rsid w:val="00715DA3"/>
    <w:rsid w:val="0072109A"/>
    <w:rsid w:val="00755438"/>
    <w:rsid w:val="00755FA2"/>
    <w:rsid w:val="007803BC"/>
    <w:rsid w:val="007E0297"/>
    <w:rsid w:val="008B7BA6"/>
    <w:rsid w:val="008F09F3"/>
    <w:rsid w:val="00965A23"/>
    <w:rsid w:val="009712AF"/>
    <w:rsid w:val="009824DF"/>
    <w:rsid w:val="009A0948"/>
    <w:rsid w:val="009E2940"/>
    <w:rsid w:val="00A80426"/>
    <w:rsid w:val="00AA2831"/>
    <w:rsid w:val="00AE51C1"/>
    <w:rsid w:val="00B354EB"/>
    <w:rsid w:val="00BD5475"/>
    <w:rsid w:val="00C53061"/>
    <w:rsid w:val="00C70802"/>
    <w:rsid w:val="00CC6DB2"/>
    <w:rsid w:val="00CE0314"/>
    <w:rsid w:val="00CF5BB2"/>
    <w:rsid w:val="00D03E06"/>
    <w:rsid w:val="00D16063"/>
    <w:rsid w:val="00D34577"/>
    <w:rsid w:val="00DD6D54"/>
    <w:rsid w:val="00E00D61"/>
    <w:rsid w:val="00E4513D"/>
    <w:rsid w:val="00E47CA8"/>
    <w:rsid w:val="00EB28A6"/>
    <w:rsid w:val="00EC1953"/>
    <w:rsid w:val="00EC44FC"/>
    <w:rsid w:val="00EF3A11"/>
    <w:rsid w:val="00F31C3E"/>
    <w:rsid w:val="00F33468"/>
    <w:rsid w:val="00F3540F"/>
    <w:rsid w:val="00F742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789"/>
    <w:rPr>
      <w:sz w:val="24"/>
      <w:szCs w:val="24"/>
    </w:rPr>
  </w:style>
  <w:style w:type="paragraph" w:styleId="Heading4">
    <w:name w:val="heading 4"/>
    <w:basedOn w:val="Normal"/>
    <w:next w:val="Normal"/>
    <w:link w:val="Heading4Char"/>
    <w:uiPriority w:val="99"/>
    <w:qFormat/>
    <w:locked/>
    <w:rsid w:val="008B7BA6"/>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8B7BA6"/>
    <w:pPr>
      <w:spacing w:before="240" w:after="60"/>
      <w:outlineLvl w:val="4"/>
    </w:pPr>
    <w:rPr>
      <w:b/>
      <w:bCs/>
      <w:i/>
      <w:iCs/>
      <w:sz w:val="26"/>
      <w:szCs w:val="26"/>
    </w:rPr>
  </w:style>
  <w:style w:type="paragraph" w:styleId="Heading7">
    <w:name w:val="heading 7"/>
    <w:basedOn w:val="Normal"/>
    <w:next w:val="Normal"/>
    <w:link w:val="Heading7Char"/>
    <w:uiPriority w:val="99"/>
    <w:qFormat/>
    <w:locked/>
    <w:rsid w:val="008B7BA6"/>
    <w:p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4453C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4453C2"/>
    <w:rPr>
      <w:rFonts w:asciiTheme="minorHAnsi" w:eastAsiaTheme="minorEastAsia" w:hAnsiTheme="minorHAnsi" w:cstheme="minorBidi"/>
      <w:b/>
      <w:bCs/>
      <w:i/>
      <w:iCs/>
      <w:sz w:val="26"/>
      <w:szCs w:val="26"/>
    </w:rPr>
  </w:style>
  <w:style w:type="character" w:customStyle="1" w:styleId="Heading7Char">
    <w:name w:val="Heading 7 Char"/>
    <w:basedOn w:val="DefaultParagraphFont"/>
    <w:link w:val="Heading7"/>
    <w:uiPriority w:val="9"/>
    <w:semiHidden/>
    <w:rsid w:val="004453C2"/>
    <w:rPr>
      <w:rFonts w:asciiTheme="minorHAnsi" w:eastAsiaTheme="minorEastAsia" w:hAnsiTheme="minorHAnsi" w:cstheme="minorBidi"/>
      <w:sz w:val="24"/>
      <w:szCs w:val="24"/>
    </w:rPr>
  </w:style>
  <w:style w:type="paragraph" w:styleId="BodyTextIndent">
    <w:name w:val="Body Text Indent"/>
    <w:basedOn w:val="Normal"/>
    <w:link w:val="BodyTextIndentChar"/>
    <w:uiPriority w:val="99"/>
    <w:rsid w:val="00200789"/>
    <w:pPr>
      <w:spacing w:line="360" w:lineRule="auto"/>
      <w:ind w:left="720"/>
      <w:jc w:val="both"/>
    </w:pPr>
    <w:rPr>
      <w:rFonts w:ascii="Tahoma" w:hAnsi="Tahoma" w:cs="Tahoma"/>
    </w:rPr>
  </w:style>
  <w:style w:type="character" w:customStyle="1" w:styleId="BodyTextIndentChar">
    <w:name w:val="Body Text Indent Char"/>
    <w:basedOn w:val="DefaultParagraphFont"/>
    <w:link w:val="BodyTextIndent"/>
    <w:uiPriority w:val="99"/>
    <w:semiHidden/>
    <w:locked/>
    <w:rsid w:val="001F3DE9"/>
    <w:rPr>
      <w:rFonts w:cs="Times New Roman"/>
      <w:sz w:val="24"/>
      <w:szCs w:val="24"/>
    </w:rPr>
  </w:style>
  <w:style w:type="paragraph" w:styleId="BodyText">
    <w:name w:val="Body Text"/>
    <w:basedOn w:val="Normal"/>
    <w:link w:val="BodyTextChar"/>
    <w:uiPriority w:val="99"/>
    <w:rsid w:val="00200789"/>
    <w:pPr>
      <w:spacing w:line="360" w:lineRule="auto"/>
      <w:jc w:val="both"/>
    </w:pPr>
    <w:rPr>
      <w:rFonts w:ascii="Tahoma" w:hAnsi="Tahoma" w:cs="Tahoma"/>
    </w:rPr>
  </w:style>
  <w:style w:type="character" w:customStyle="1" w:styleId="BodyTextChar">
    <w:name w:val="Body Text Char"/>
    <w:basedOn w:val="DefaultParagraphFont"/>
    <w:link w:val="BodyText"/>
    <w:uiPriority w:val="99"/>
    <w:semiHidden/>
    <w:locked/>
    <w:rsid w:val="001F3DE9"/>
    <w:rPr>
      <w:rFonts w:cs="Times New Roman"/>
      <w:sz w:val="24"/>
      <w:szCs w:val="24"/>
    </w:rPr>
  </w:style>
  <w:style w:type="paragraph" w:styleId="Footer">
    <w:name w:val="footer"/>
    <w:basedOn w:val="Normal"/>
    <w:link w:val="FooterChar"/>
    <w:uiPriority w:val="99"/>
    <w:rsid w:val="00200789"/>
    <w:pPr>
      <w:tabs>
        <w:tab w:val="center" w:pos="4320"/>
        <w:tab w:val="right" w:pos="8640"/>
      </w:tabs>
    </w:pPr>
  </w:style>
  <w:style w:type="character" w:customStyle="1" w:styleId="FooterChar">
    <w:name w:val="Footer Char"/>
    <w:basedOn w:val="DefaultParagraphFont"/>
    <w:link w:val="Footer"/>
    <w:uiPriority w:val="99"/>
    <w:semiHidden/>
    <w:locked/>
    <w:rsid w:val="001F3DE9"/>
    <w:rPr>
      <w:rFonts w:cs="Times New Roman"/>
      <w:sz w:val="24"/>
      <w:szCs w:val="24"/>
    </w:rPr>
  </w:style>
  <w:style w:type="character" w:styleId="PageNumber">
    <w:name w:val="page number"/>
    <w:basedOn w:val="DefaultParagraphFont"/>
    <w:uiPriority w:val="99"/>
    <w:rsid w:val="00715DA3"/>
    <w:rPr>
      <w:rFonts w:cs="Times New Roman"/>
    </w:rPr>
  </w:style>
  <w:style w:type="paragraph" w:styleId="Header">
    <w:name w:val="header"/>
    <w:basedOn w:val="Normal"/>
    <w:link w:val="HeaderChar"/>
    <w:uiPriority w:val="99"/>
    <w:rsid w:val="00CE0314"/>
    <w:pPr>
      <w:tabs>
        <w:tab w:val="center" w:pos="4320"/>
        <w:tab w:val="right" w:pos="8640"/>
      </w:tabs>
    </w:pPr>
  </w:style>
  <w:style w:type="character" w:customStyle="1" w:styleId="HeaderChar">
    <w:name w:val="Header Char"/>
    <w:basedOn w:val="DefaultParagraphFont"/>
    <w:link w:val="Header"/>
    <w:uiPriority w:val="99"/>
    <w:semiHidden/>
    <w:locked/>
    <w:rsid w:val="001F3DE9"/>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9</Pages>
  <Words>1825</Words>
  <Characters>10403</Characters>
  <Application>Microsoft Office Outlook</Application>
  <DocSecurity>0</DocSecurity>
  <Lines>0</Lines>
  <Paragraphs>0</Paragraphs>
  <ScaleCrop>false</ScaleCrop>
  <Company>&lt;arabianhorse&gt;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AKP</cp:lastModifiedBy>
  <cp:revision>7</cp:revision>
  <cp:lastPrinted>2014-12-08T06:42:00Z</cp:lastPrinted>
  <dcterms:created xsi:type="dcterms:W3CDTF">2014-12-06T07:48:00Z</dcterms:created>
  <dcterms:modified xsi:type="dcterms:W3CDTF">2015-01-08T05:40:00Z</dcterms:modified>
</cp:coreProperties>
</file>